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8C9" w:rsidRDefault="00EF78C9" w:rsidP="00EF78C9">
      <w:pPr>
        <w:shd w:val="clear" w:color="auto" w:fill="FFFFFF"/>
        <w:spacing w:after="345" w:line="510" w:lineRule="atLeast"/>
        <w:jc w:val="right"/>
        <w:outlineLvl w:val="1"/>
        <w:rPr>
          <w:rFonts w:ascii="Times New Roman" w:eastAsia="Times New Roman" w:hAnsi="Times New Roman" w:cs="Times New Roman"/>
          <w:caps/>
          <w:sz w:val="45"/>
          <w:szCs w:val="45"/>
          <w:lang w:eastAsia="de-DE"/>
        </w:rPr>
      </w:pPr>
      <w:r>
        <w:rPr>
          <w:noProof/>
          <w:lang w:eastAsia="de-DE"/>
        </w:rPr>
        <w:drawing>
          <wp:inline distT="0" distB="0" distL="0" distR="0" wp14:anchorId="0C78D1F3" wp14:editId="069D2C2E">
            <wp:extent cx="1065251" cy="603733"/>
            <wp:effectExtent l="0" t="0" r="1905" b="6350"/>
            <wp:docPr id="1" name="Bild 1" descr="https://www--stahl--de.s-cms01.stahl.de/fileadmin/Dateien/extranet/Logos/Logos_rv19/RGB/R_STAHL_Logo_Frei_RGB_Size_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ahl--de.s-cms01.stahl.de/fileadmin/Dateien/extranet/Logos/Logos_rv19/RGB/R_STAHL_Logo_Frei_RGB_Size_M.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91536" cy="618630"/>
                    </a:xfrm>
                    <a:prstGeom prst="rect">
                      <a:avLst/>
                    </a:prstGeom>
                    <a:noFill/>
                    <a:ln>
                      <a:noFill/>
                    </a:ln>
                  </pic:spPr>
                </pic:pic>
              </a:graphicData>
            </a:graphic>
          </wp:inline>
        </w:drawing>
      </w:r>
    </w:p>
    <w:p w:rsidR="00EF78C9" w:rsidRDefault="00EF78C9" w:rsidP="00EF78C9">
      <w:pPr>
        <w:shd w:val="clear" w:color="auto" w:fill="FFFFFF"/>
        <w:spacing w:after="345" w:line="510" w:lineRule="atLeast"/>
        <w:outlineLvl w:val="1"/>
        <w:rPr>
          <w:rFonts w:ascii="Helvetica" w:eastAsia="Times New Roman" w:hAnsi="Helvetica" w:cs="Times New Roman"/>
          <w:b/>
          <w:color w:val="072A5B"/>
          <w:spacing w:val="6"/>
          <w:sz w:val="32"/>
          <w:szCs w:val="32"/>
          <w:lang w:eastAsia="de-DE"/>
        </w:rPr>
      </w:pPr>
    </w:p>
    <w:p w:rsidR="00EF78C9" w:rsidRPr="00EF78C9" w:rsidRDefault="00DC1BEA" w:rsidP="00EF78C9">
      <w:pPr>
        <w:shd w:val="clear" w:color="auto" w:fill="FFFFFF"/>
        <w:spacing w:after="345" w:line="510" w:lineRule="atLeast"/>
        <w:outlineLvl w:val="1"/>
        <w:rPr>
          <w:rFonts w:ascii="Helvetica" w:eastAsia="Times New Roman" w:hAnsi="Helvetica" w:cs="Times New Roman"/>
          <w:b/>
          <w:color w:val="072A5B"/>
          <w:spacing w:val="6"/>
          <w:sz w:val="32"/>
          <w:szCs w:val="32"/>
          <w:lang w:eastAsia="de-DE"/>
        </w:rPr>
      </w:pPr>
      <w:r>
        <w:rPr>
          <w:rFonts w:ascii="Helvetica" w:eastAsia="Times New Roman" w:hAnsi="Helvetica" w:cs="Times New Roman"/>
          <w:b/>
          <w:color w:val="072A5B"/>
          <w:spacing w:val="6"/>
          <w:sz w:val="32"/>
          <w:szCs w:val="32"/>
          <w:lang w:eastAsia="de-DE"/>
        </w:rPr>
        <w:t>CORPORATE GOVERNANCE BERICHT</w:t>
      </w:r>
    </w:p>
    <w:p w:rsidR="00DC1BEA" w:rsidRPr="00DC1BEA" w:rsidRDefault="00DC1BEA" w:rsidP="00DC1BEA">
      <w:pPr>
        <w:shd w:val="clear" w:color="auto" w:fill="FFFFFF"/>
        <w:spacing w:after="120" w:line="315" w:lineRule="atLeast"/>
        <w:jc w:val="both"/>
        <w:rPr>
          <w:rFonts w:ascii="Helvetica" w:eastAsia="Times New Roman" w:hAnsi="Helvetica" w:cs="Times New Roman"/>
          <w:b/>
          <w:color w:val="072A5B"/>
          <w:spacing w:val="6"/>
          <w:sz w:val="26"/>
          <w:szCs w:val="26"/>
          <w:lang w:eastAsia="de-DE"/>
        </w:rPr>
      </w:pPr>
      <w:r w:rsidRPr="00DC1BEA">
        <w:rPr>
          <w:rFonts w:ascii="Helvetica" w:eastAsia="Times New Roman" w:hAnsi="Helvetica" w:cs="Times New Roman"/>
          <w:b/>
          <w:color w:val="072A5B"/>
          <w:spacing w:val="6"/>
          <w:sz w:val="26"/>
          <w:szCs w:val="26"/>
          <w:lang w:eastAsia="de-DE"/>
        </w:rPr>
        <w:t>VORSTAND</w:t>
      </w: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r w:rsidRPr="00DC1BEA">
        <w:rPr>
          <w:rFonts w:ascii="Helvetica" w:eastAsia="Times New Roman" w:hAnsi="Helvetica" w:cs="Times New Roman"/>
          <w:color w:val="072A5B"/>
          <w:spacing w:val="6"/>
          <w:sz w:val="24"/>
          <w:szCs w:val="24"/>
          <w:lang w:eastAsia="de-DE"/>
        </w:rPr>
        <w:t xml:space="preserve">Das 2009 in Kraft getretene </w:t>
      </w:r>
      <w:proofErr w:type="spellStart"/>
      <w:r w:rsidRPr="00DC1BEA">
        <w:rPr>
          <w:rFonts w:ascii="Helvetica" w:eastAsia="Times New Roman" w:hAnsi="Helvetica" w:cs="Times New Roman"/>
          <w:color w:val="072A5B"/>
          <w:spacing w:val="6"/>
          <w:sz w:val="24"/>
          <w:szCs w:val="24"/>
          <w:lang w:eastAsia="de-DE"/>
        </w:rPr>
        <w:t>VorstAG</w:t>
      </w:r>
      <w:proofErr w:type="spellEnd"/>
      <w:r w:rsidRPr="00DC1BEA">
        <w:rPr>
          <w:rFonts w:ascii="Helvetica" w:eastAsia="Times New Roman" w:hAnsi="Helvetica" w:cs="Times New Roman"/>
          <w:color w:val="072A5B"/>
          <w:spacing w:val="6"/>
          <w:sz w:val="24"/>
          <w:szCs w:val="24"/>
          <w:lang w:eastAsia="de-DE"/>
        </w:rPr>
        <w:t xml:space="preserve"> (Gesetz zur Angemessenheit der Vorstandsvergütung) verlangt von Aufsichtsräten, dafür Sorge zu tragen, dass die Gesamtbezüge der Vorstandsmitglieder den branchen- und marktüblichen Rahmen nicht übersteigen. Um dies beurteilen zu können, hat der Aufsichtsrat 2015 die Prüfung der Vorstandsbezüge durch eine unabhängige Stelle in Auftrag gegeben. Die beauftragte Kienbaum Management Consultants GmbH hat die Vorstandsbezüge als im Marktvergleich angemessen beurteilt und keine Änderungsempfehlung ausgesprochen. Darüber hinaus wird die Angemessenheit der Vorstandsvergütung einmal im Jahr überprüft.</w:t>
      </w: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r w:rsidRPr="00DC1BEA">
        <w:rPr>
          <w:rFonts w:ascii="Helvetica" w:eastAsia="Times New Roman" w:hAnsi="Helvetica" w:cs="Times New Roman"/>
          <w:color w:val="072A5B"/>
          <w:spacing w:val="6"/>
          <w:sz w:val="24"/>
          <w:szCs w:val="24"/>
          <w:lang w:eastAsia="de-DE"/>
        </w:rPr>
        <w:t>Die Vergütung der Vorstandsmitglieder ist im Konzernanhang im Geschäftsbericht 2018 entsprechend der gesetzlichen Vorgaben ausgewiesen. Die Angaben sind aufgeteilt nach fixen und variablen Komponenten und individualisiert dargestellt.</w:t>
      </w: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r w:rsidRPr="00DC1BEA">
        <w:rPr>
          <w:rFonts w:ascii="Helvetica" w:eastAsia="Times New Roman" w:hAnsi="Helvetica" w:cs="Times New Roman"/>
          <w:color w:val="072A5B"/>
          <w:spacing w:val="6"/>
          <w:sz w:val="24"/>
          <w:szCs w:val="24"/>
          <w:lang w:eastAsia="de-DE"/>
        </w:rPr>
        <w:t>Die R. STAHL AG hat keine Aktienoptionspläne oder ähnliche wertpapier-orientierten Anreizsysteme aufgelegt, weder für den Vorstand oder andere führende Mitarbeiter noch für den Aufsichtsrat.</w:t>
      </w: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r w:rsidRPr="00DC1BEA">
        <w:rPr>
          <w:rFonts w:ascii="Helvetica" w:eastAsia="Times New Roman" w:hAnsi="Helvetica" w:cs="Times New Roman"/>
          <w:color w:val="072A5B"/>
          <w:spacing w:val="6"/>
          <w:sz w:val="24"/>
          <w:szCs w:val="24"/>
          <w:lang w:eastAsia="de-DE"/>
        </w:rPr>
        <w:t xml:space="preserve">Hier finden Sie die aktuelle </w:t>
      </w:r>
      <w:proofErr w:type="spellStart"/>
      <w:r w:rsidRPr="00DC1BEA">
        <w:rPr>
          <w:rFonts w:ascii="Helvetica" w:eastAsia="Times New Roman" w:hAnsi="Helvetica" w:cs="Times New Roman"/>
          <w:color w:val="072A5B"/>
          <w:spacing w:val="6"/>
          <w:sz w:val="24"/>
          <w:szCs w:val="24"/>
          <w:lang w:eastAsia="de-DE"/>
        </w:rPr>
        <w:t>Entsprechenserklärung</w:t>
      </w:r>
      <w:proofErr w:type="spellEnd"/>
      <w:r w:rsidRPr="00DC1BEA">
        <w:rPr>
          <w:rFonts w:ascii="Helvetica" w:eastAsia="Times New Roman" w:hAnsi="Helvetica" w:cs="Times New Roman"/>
          <w:color w:val="072A5B"/>
          <w:spacing w:val="6"/>
          <w:sz w:val="24"/>
          <w:szCs w:val="24"/>
          <w:lang w:eastAsia="de-DE"/>
        </w:rPr>
        <w:t xml:space="preserve"> zum Deutschen Corporate </w:t>
      </w:r>
      <w:proofErr w:type="spellStart"/>
      <w:r w:rsidRPr="00DC1BEA">
        <w:rPr>
          <w:rFonts w:ascii="Helvetica" w:eastAsia="Times New Roman" w:hAnsi="Helvetica" w:cs="Times New Roman"/>
          <w:color w:val="072A5B"/>
          <w:spacing w:val="6"/>
          <w:sz w:val="24"/>
          <w:szCs w:val="24"/>
          <w:lang w:eastAsia="de-DE"/>
        </w:rPr>
        <w:t>Governance</w:t>
      </w:r>
      <w:proofErr w:type="spellEnd"/>
      <w:r w:rsidRPr="00DC1BEA">
        <w:rPr>
          <w:rFonts w:ascii="Helvetica" w:eastAsia="Times New Roman" w:hAnsi="Helvetica" w:cs="Times New Roman"/>
          <w:color w:val="072A5B"/>
          <w:spacing w:val="6"/>
          <w:sz w:val="24"/>
          <w:szCs w:val="24"/>
          <w:lang w:eastAsia="de-DE"/>
        </w:rPr>
        <w:t xml:space="preserve"> Kodex.</w:t>
      </w:r>
    </w:p>
    <w:p w:rsidR="00DC1BEA" w:rsidRDefault="00DC1BEA" w:rsidP="00DC1BEA">
      <w:pPr>
        <w:shd w:val="clear" w:color="auto" w:fill="FFFFFF"/>
        <w:spacing w:after="0" w:line="315" w:lineRule="atLeast"/>
        <w:jc w:val="both"/>
        <w:rPr>
          <w:rFonts w:ascii="Helvetica" w:eastAsia="Times New Roman" w:hAnsi="Helvetica" w:cs="Times New Roman"/>
          <w:color w:val="072A5B"/>
          <w:spacing w:val="6"/>
          <w:sz w:val="26"/>
          <w:szCs w:val="26"/>
          <w:lang w:eastAsia="de-DE"/>
        </w:rPr>
      </w:pP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6"/>
          <w:szCs w:val="26"/>
          <w:lang w:eastAsia="de-DE"/>
        </w:rPr>
      </w:pPr>
    </w:p>
    <w:p w:rsidR="00DC1BEA" w:rsidRPr="00DC1BEA" w:rsidRDefault="00DC1BEA" w:rsidP="00DC1BEA">
      <w:pPr>
        <w:shd w:val="clear" w:color="auto" w:fill="FFFFFF"/>
        <w:spacing w:after="120" w:line="315" w:lineRule="atLeast"/>
        <w:jc w:val="both"/>
        <w:rPr>
          <w:rFonts w:ascii="Helvetica" w:eastAsia="Times New Roman" w:hAnsi="Helvetica" w:cs="Times New Roman"/>
          <w:b/>
          <w:color w:val="072A5B"/>
          <w:spacing w:val="6"/>
          <w:sz w:val="26"/>
          <w:szCs w:val="26"/>
          <w:lang w:eastAsia="de-DE"/>
        </w:rPr>
      </w:pPr>
      <w:r w:rsidRPr="00DC1BEA">
        <w:rPr>
          <w:rFonts w:ascii="Helvetica" w:eastAsia="Times New Roman" w:hAnsi="Helvetica" w:cs="Times New Roman"/>
          <w:b/>
          <w:color w:val="072A5B"/>
          <w:spacing w:val="6"/>
          <w:sz w:val="26"/>
          <w:szCs w:val="26"/>
          <w:lang w:eastAsia="de-DE"/>
        </w:rPr>
        <w:t>AUFSICHTSRAT</w:t>
      </w: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r w:rsidRPr="00DC1BEA">
        <w:rPr>
          <w:rFonts w:ascii="Helvetica" w:eastAsia="Times New Roman" w:hAnsi="Helvetica" w:cs="Times New Roman"/>
          <w:color w:val="072A5B"/>
          <w:spacing w:val="6"/>
          <w:sz w:val="24"/>
          <w:szCs w:val="24"/>
          <w:lang w:eastAsia="de-DE"/>
        </w:rPr>
        <w:t>Der Aufsichtsrat der R. STAHL AG ist nach dem Drittelbeteiligungsgesetz zusammengesetzt und besteht satzungsgemäß aus neun Mitgliedern (davon aktuell acht Positionen besetzt): Drei Aufsichtsräte sind als Vertreter der Arbeitnehmerseite bestellt, die anderen sechs – davon drei aus dem Kreise der Gründerfamilie – repräsentieren die Anteilseigner (davon aktuell fünf Positionen besetzt).</w:t>
      </w: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r w:rsidRPr="00DC1BEA">
        <w:rPr>
          <w:rFonts w:ascii="Helvetica" w:eastAsia="Times New Roman" w:hAnsi="Helvetica" w:cs="Times New Roman"/>
          <w:color w:val="072A5B"/>
          <w:spacing w:val="6"/>
          <w:sz w:val="24"/>
          <w:szCs w:val="24"/>
          <w:lang w:eastAsia="de-DE"/>
        </w:rPr>
        <w:t>R. STAHL beliefert Kunden auf der ganzen Welt. Diese internationale Orientierung spiegelt sich auch im Aufsichtsrat wider, dem mehrere Mitglieder mit Auslandserfahrung angehören. Zwei Aufsichtsräte sind weiblich, damit beträgt die Frauenquote in diesem Gremium derzeit 22,22 %.</w:t>
      </w: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r w:rsidRPr="00DC1BEA">
        <w:rPr>
          <w:rFonts w:ascii="Helvetica" w:eastAsia="Times New Roman" w:hAnsi="Helvetica" w:cs="Times New Roman"/>
          <w:color w:val="072A5B"/>
          <w:spacing w:val="6"/>
          <w:sz w:val="24"/>
          <w:szCs w:val="24"/>
          <w:lang w:eastAsia="de-DE"/>
        </w:rPr>
        <w:t xml:space="preserve">Bei den aktuellen Mitgliedern des Aufsichtsrats bestehen keine Interessenskonflikte. Bevor neue Personen für das Gremium vorgeschlagen werden, wird Wert </w:t>
      </w:r>
      <w:proofErr w:type="gramStart"/>
      <w:r w:rsidRPr="00DC1BEA">
        <w:rPr>
          <w:rFonts w:ascii="Helvetica" w:eastAsia="Times New Roman" w:hAnsi="Helvetica" w:cs="Times New Roman"/>
          <w:color w:val="072A5B"/>
          <w:spacing w:val="6"/>
          <w:sz w:val="24"/>
          <w:szCs w:val="24"/>
          <w:lang w:eastAsia="de-DE"/>
        </w:rPr>
        <w:t>darauf gelegt</w:t>
      </w:r>
      <w:proofErr w:type="gramEnd"/>
      <w:r w:rsidRPr="00DC1BEA">
        <w:rPr>
          <w:rFonts w:ascii="Helvetica" w:eastAsia="Times New Roman" w:hAnsi="Helvetica" w:cs="Times New Roman"/>
          <w:color w:val="072A5B"/>
          <w:spacing w:val="6"/>
          <w:sz w:val="24"/>
          <w:szCs w:val="24"/>
          <w:lang w:eastAsia="de-DE"/>
        </w:rPr>
        <w:t>, dass auch diese keinen Interessens-konflikten ausgesetzt sind.</w:t>
      </w: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r w:rsidRPr="00DC1BEA">
        <w:rPr>
          <w:rFonts w:ascii="Helvetica" w:eastAsia="Times New Roman" w:hAnsi="Helvetica" w:cs="Times New Roman"/>
          <w:color w:val="072A5B"/>
          <w:spacing w:val="6"/>
          <w:sz w:val="24"/>
          <w:szCs w:val="24"/>
          <w:lang w:eastAsia="de-DE"/>
        </w:rPr>
        <w:t>Zur optimalen Wahrnehmung seiner Aufgaben hat der Aufsichtsrat drei fachlich qualifizierte ständige Ausschüsse gebildet: den Prüfungsausschuss, den Verwaltungsausschuss sowie den Strategie-ausschuss.</w:t>
      </w: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r w:rsidRPr="00DC1BEA">
        <w:rPr>
          <w:rFonts w:ascii="Helvetica" w:eastAsia="Times New Roman" w:hAnsi="Helvetica" w:cs="Times New Roman"/>
          <w:color w:val="072A5B"/>
          <w:spacing w:val="6"/>
          <w:sz w:val="24"/>
          <w:szCs w:val="24"/>
          <w:lang w:eastAsia="de-DE"/>
        </w:rPr>
        <w:t>Mitglieder des Aufsichtsrats halten zum Stichtag 31. Dezember 2019 insgesamt 2,34 % des stimmberechtigten Kapitals. Im Rahmen des Vergütungsberichts sind die Bezüge der Aufsichtsratsmitglieder aufgegliedert nach fixem und erfolgsabhängigem Bestandteil sowie individualisiert dargestellt.</w:t>
      </w:r>
    </w:p>
    <w:p w:rsidR="00DC1BEA" w:rsidRDefault="00DC1BEA" w:rsidP="00DC1BEA">
      <w:pPr>
        <w:shd w:val="clear" w:color="auto" w:fill="FFFFFF"/>
        <w:spacing w:after="0" w:line="315" w:lineRule="atLeast"/>
        <w:jc w:val="both"/>
        <w:rPr>
          <w:rFonts w:ascii="Helvetica" w:eastAsia="Times New Roman" w:hAnsi="Helvetica" w:cs="Times New Roman"/>
          <w:color w:val="072A5B"/>
          <w:spacing w:val="6"/>
          <w:sz w:val="26"/>
          <w:szCs w:val="26"/>
          <w:lang w:eastAsia="de-DE"/>
        </w:rPr>
      </w:pP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6"/>
          <w:szCs w:val="26"/>
          <w:lang w:eastAsia="de-DE"/>
        </w:rPr>
      </w:pPr>
    </w:p>
    <w:p w:rsidR="00DC1BEA" w:rsidRPr="00DC1BEA" w:rsidRDefault="00DC1BEA" w:rsidP="00DC1BEA">
      <w:pPr>
        <w:shd w:val="clear" w:color="auto" w:fill="FFFFFF"/>
        <w:spacing w:after="120" w:line="315" w:lineRule="atLeast"/>
        <w:jc w:val="both"/>
        <w:rPr>
          <w:rFonts w:ascii="Helvetica" w:eastAsia="Times New Roman" w:hAnsi="Helvetica" w:cs="Times New Roman"/>
          <w:b/>
          <w:color w:val="072A5B"/>
          <w:spacing w:val="6"/>
          <w:sz w:val="26"/>
          <w:szCs w:val="26"/>
          <w:lang w:eastAsia="de-DE"/>
        </w:rPr>
      </w:pPr>
      <w:r w:rsidRPr="00DC1BEA">
        <w:rPr>
          <w:rFonts w:ascii="Helvetica" w:eastAsia="Times New Roman" w:hAnsi="Helvetica" w:cs="Times New Roman"/>
          <w:b/>
          <w:color w:val="072A5B"/>
          <w:spacing w:val="6"/>
          <w:sz w:val="26"/>
          <w:szCs w:val="26"/>
          <w:lang w:eastAsia="de-DE"/>
        </w:rPr>
        <w:t>HAUPTVERSAMMLUNG</w:t>
      </w: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r w:rsidRPr="00DC1BEA">
        <w:rPr>
          <w:rFonts w:ascii="Helvetica" w:eastAsia="Times New Roman" w:hAnsi="Helvetica" w:cs="Times New Roman"/>
          <w:color w:val="072A5B"/>
          <w:spacing w:val="6"/>
          <w:sz w:val="24"/>
          <w:szCs w:val="24"/>
          <w:lang w:eastAsia="de-DE"/>
        </w:rPr>
        <w:t>Jede Aktie der R. STAHL AG besitzt eine Stimme. Zur Teilnahme an der Hauptversammlung sind diejenigen Aktionäre berechtigt, die im Aktienregister eingetragen sind und sich entsprechend den sich aus Gesetz und der Satzung der Gesellschaft ergebenden Konditionen zur Teilnahme angemeldet haben.</w:t>
      </w: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r w:rsidRPr="00DC1BEA">
        <w:rPr>
          <w:rFonts w:ascii="Helvetica" w:eastAsia="Times New Roman" w:hAnsi="Helvetica" w:cs="Times New Roman"/>
          <w:color w:val="072A5B"/>
          <w:spacing w:val="6"/>
          <w:sz w:val="24"/>
          <w:szCs w:val="24"/>
          <w:lang w:eastAsia="de-DE"/>
        </w:rPr>
        <w:t>Die 26. ordentliche Hauptversammlung fand am 7. Juni 2019 im CARMEN WÜRTH FORUM in Künzelsau-</w:t>
      </w:r>
      <w:proofErr w:type="spellStart"/>
      <w:r w:rsidRPr="00DC1BEA">
        <w:rPr>
          <w:rFonts w:ascii="Helvetica" w:eastAsia="Times New Roman" w:hAnsi="Helvetica" w:cs="Times New Roman"/>
          <w:color w:val="072A5B"/>
          <w:spacing w:val="6"/>
          <w:sz w:val="24"/>
          <w:szCs w:val="24"/>
          <w:lang w:eastAsia="de-DE"/>
        </w:rPr>
        <w:t>Gaisbach</w:t>
      </w:r>
      <w:proofErr w:type="spellEnd"/>
      <w:r w:rsidRPr="00DC1BEA">
        <w:rPr>
          <w:rFonts w:ascii="Helvetica" w:eastAsia="Times New Roman" w:hAnsi="Helvetica" w:cs="Times New Roman"/>
          <w:color w:val="072A5B"/>
          <w:spacing w:val="6"/>
          <w:sz w:val="24"/>
          <w:szCs w:val="24"/>
          <w:lang w:eastAsia="de-DE"/>
        </w:rPr>
        <w:t xml:space="preserve"> statt. Insgesamt waren 82,7</w:t>
      </w:r>
      <w:r>
        <w:rPr>
          <w:rFonts w:ascii="Helvetica" w:eastAsia="Times New Roman" w:hAnsi="Helvetica" w:cs="Times New Roman"/>
          <w:color w:val="072A5B"/>
          <w:spacing w:val="6"/>
          <w:sz w:val="24"/>
          <w:szCs w:val="24"/>
          <w:lang w:eastAsia="de-DE"/>
        </w:rPr>
        <w:t> </w:t>
      </w:r>
      <w:r w:rsidRPr="00DC1BEA">
        <w:rPr>
          <w:rFonts w:ascii="Helvetica" w:eastAsia="Times New Roman" w:hAnsi="Helvetica" w:cs="Times New Roman"/>
          <w:color w:val="072A5B"/>
          <w:spacing w:val="6"/>
          <w:sz w:val="24"/>
          <w:szCs w:val="24"/>
          <w:lang w:eastAsia="de-DE"/>
        </w:rPr>
        <w:t>% des stimmberechtigten Kapitals präsent. Alle zur Abstimmung gestellten Tagesordnungspunkte wurden mit großer Mehrheit verabschiedet. Die detaillierten Ergebnisse sind auf der R.</w:t>
      </w:r>
      <w:r>
        <w:rPr>
          <w:rFonts w:ascii="Helvetica" w:eastAsia="Times New Roman" w:hAnsi="Helvetica" w:cs="Times New Roman"/>
          <w:color w:val="072A5B"/>
          <w:spacing w:val="6"/>
          <w:sz w:val="24"/>
          <w:szCs w:val="24"/>
          <w:lang w:eastAsia="de-DE"/>
        </w:rPr>
        <w:t> </w:t>
      </w:r>
      <w:r w:rsidRPr="00DC1BEA">
        <w:rPr>
          <w:rFonts w:ascii="Helvetica" w:eastAsia="Times New Roman" w:hAnsi="Helvetica" w:cs="Times New Roman"/>
          <w:color w:val="072A5B"/>
          <w:spacing w:val="6"/>
          <w:sz w:val="24"/>
          <w:szCs w:val="24"/>
          <w:lang w:eastAsia="de-DE"/>
        </w:rPr>
        <w:t>STAHL-Website innerhalb der Sektion Investor Relations, und hier unter „Hauptversammlung“, veröffentlicht worden.</w:t>
      </w:r>
    </w:p>
    <w:p w:rsidR="00DC1BEA" w:rsidRDefault="00DC1BEA" w:rsidP="00DC1BEA">
      <w:pPr>
        <w:shd w:val="clear" w:color="auto" w:fill="FFFFFF"/>
        <w:spacing w:after="0" w:line="315" w:lineRule="atLeast"/>
        <w:jc w:val="both"/>
        <w:rPr>
          <w:rFonts w:ascii="Helvetica" w:eastAsia="Times New Roman" w:hAnsi="Helvetica" w:cs="Times New Roman"/>
          <w:color w:val="072A5B"/>
          <w:spacing w:val="6"/>
          <w:sz w:val="26"/>
          <w:szCs w:val="26"/>
          <w:lang w:eastAsia="de-DE"/>
        </w:rPr>
      </w:pP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6"/>
          <w:szCs w:val="26"/>
          <w:lang w:eastAsia="de-DE"/>
        </w:rPr>
      </w:pPr>
    </w:p>
    <w:p w:rsidR="00DC1BEA" w:rsidRPr="00DC1BEA" w:rsidRDefault="00DC1BEA" w:rsidP="00DC1BEA">
      <w:pPr>
        <w:shd w:val="clear" w:color="auto" w:fill="FFFFFF"/>
        <w:spacing w:after="120" w:line="315" w:lineRule="atLeast"/>
        <w:jc w:val="both"/>
        <w:rPr>
          <w:rFonts w:ascii="Helvetica" w:eastAsia="Times New Roman" w:hAnsi="Helvetica" w:cs="Times New Roman"/>
          <w:b/>
          <w:color w:val="072A5B"/>
          <w:spacing w:val="6"/>
          <w:sz w:val="26"/>
          <w:szCs w:val="26"/>
          <w:lang w:eastAsia="de-DE"/>
        </w:rPr>
      </w:pPr>
      <w:r w:rsidRPr="00DC1BEA">
        <w:rPr>
          <w:rFonts w:ascii="Helvetica" w:eastAsia="Times New Roman" w:hAnsi="Helvetica" w:cs="Times New Roman"/>
          <w:b/>
          <w:color w:val="072A5B"/>
          <w:spacing w:val="6"/>
          <w:sz w:val="26"/>
          <w:szCs w:val="26"/>
          <w:lang w:eastAsia="de-DE"/>
        </w:rPr>
        <w:t>RECHNUNGSLEGUNG UND ABSCHLUSSPRÜFER</w:t>
      </w: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r w:rsidRPr="00DC1BEA">
        <w:rPr>
          <w:rFonts w:ascii="Helvetica" w:eastAsia="Times New Roman" w:hAnsi="Helvetica" w:cs="Times New Roman"/>
          <w:color w:val="072A5B"/>
          <w:spacing w:val="6"/>
          <w:sz w:val="24"/>
          <w:szCs w:val="24"/>
          <w:lang w:eastAsia="de-DE"/>
        </w:rPr>
        <w:t>Der Konzernabschluss der R. STAHL AG zum 31. Dezember 2019 wurde nach den International Financial Reporting Standards (IFRS) aufgestellt, der Jahresabschluss der R. STAHL AG für das Geschäftsjahr 2019 nach den Rechnungslegungsvorschriften des deutschen Handelsgesetzbuches.</w:t>
      </w:r>
    </w:p>
    <w:p w:rsidR="00DC1BEA"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p>
    <w:p w:rsidR="00EF78C9" w:rsidRPr="00DC1BEA" w:rsidRDefault="00DC1BEA" w:rsidP="00DC1BEA">
      <w:pPr>
        <w:shd w:val="clear" w:color="auto" w:fill="FFFFFF"/>
        <w:spacing w:after="0" w:line="315" w:lineRule="atLeast"/>
        <w:jc w:val="both"/>
        <w:rPr>
          <w:rFonts w:ascii="Helvetica" w:eastAsia="Times New Roman" w:hAnsi="Helvetica" w:cs="Times New Roman"/>
          <w:color w:val="072A5B"/>
          <w:spacing w:val="6"/>
          <w:sz w:val="24"/>
          <w:szCs w:val="24"/>
          <w:lang w:eastAsia="de-DE"/>
        </w:rPr>
      </w:pPr>
      <w:r w:rsidRPr="00DC1BEA">
        <w:rPr>
          <w:rFonts w:ascii="Helvetica" w:eastAsia="Times New Roman" w:hAnsi="Helvetica" w:cs="Times New Roman"/>
          <w:color w:val="072A5B"/>
          <w:spacing w:val="6"/>
          <w:sz w:val="24"/>
          <w:szCs w:val="24"/>
          <w:lang w:eastAsia="de-DE"/>
        </w:rPr>
        <w:t>Die Hauptversammlung am 7. Juni 2019 hat die BDO AG, Wirtschaftsprüfungs</w:t>
      </w:r>
      <w:r>
        <w:rPr>
          <w:rFonts w:ascii="Helvetica" w:eastAsia="Times New Roman" w:hAnsi="Helvetica" w:cs="Times New Roman"/>
          <w:color w:val="072A5B"/>
          <w:spacing w:val="6"/>
          <w:sz w:val="24"/>
          <w:szCs w:val="24"/>
          <w:lang w:eastAsia="de-DE"/>
        </w:rPr>
        <w:t>-</w:t>
      </w:r>
      <w:r w:rsidRPr="00DC1BEA">
        <w:rPr>
          <w:rFonts w:ascii="Helvetica" w:eastAsia="Times New Roman" w:hAnsi="Helvetica" w:cs="Times New Roman"/>
          <w:color w:val="072A5B"/>
          <w:spacing w:val="6"/>
          <w:sz w:val="24"/>
          <w:szCs w:val="24"/>
          <w:lang w:eastAsia="de-DE"/>
        </w:rPr>
        <w:t>gesellschaft, Hamburg, zum Abschlussprüfer für das am 31. Dezember 2019 endende Geschäftsjahr bestellt.</w:t>
      </w:r>
      <w:r w:rsidR="00EF78C9" w:rsidRPr="00DC1BEA">
        <w:rPr>
          <w:rFonts w:ascii="Helvetica" w:eastAsia="Times New Roman" w:hAnsi="Helvetica" w:cs="Times New Roman"/>
          <w:color w:val="072A5B"/>
          <w:spacing w:val="6"/>
          <w:sz w:val="24"/>
          <w:szCs w:val="24"/>
          <w:lang w:eastAsia="de-DE"/>
        </w:rPr>
        <w:t> </w:t>
      </w:r>
    </w:p>
    <w:p w:rsidR="00D01779" w:rsidRDefault="006858F5"/>
    <w:p w:rsidR="00EF78C9" w:rsidRDefault="00EF78C9"/>
    <w:p w:rsidR="00EF78C9" w:rsidRPr="00EF78C9" w:rsidRDefault="00EF78C9">
      <w:pPr>
        <w:rPr>
          <w:rFonts w:ascii="Helvetica" w:eastAsia="Times New Roman" w:hAnsi="Helvetica" w:cs="Times New Roman"/>
          <w:color w:val="072A5B"/>
          <w:spacing w:val="6"/>
          <w:sz w:val="16"/>
          <w:szCs w:val="16"/>
          <w:lang w:eastAsia="de-DE"/>
        </w:rPr>
      </w:pPr>
      <w:r w:rsidRPr="00EF78C9">
        <w:rPr>
          <w:rFonts w:ascii="Helvetica" w:eastAsia="Times New Roman" w:hAnsi="Helvetica" w:cs="Times New Roman"/>
          <w:color w:val="072A5B"/>
          <w:spacing w:val="6"/>
          <w:sz w:val="16"/>
          <w:szCs w:val="16"/>
          <w:lang w:eastAsia="de-DE"/>
        </w:rPr>
        <w:t>(</w:t>
      </w:r>
      <w:r w:rsidR="006858F5">
        <w:rPr>
          <w:rFonts w:ascii="Helvetica" w:eastAsia="Times New Roman" w:hAnsi="Helvetica" w:cs="Times New Roman"/>
          <w:color w:val="072A5B"/>
          <w:spacing w:val="6"/>
          <w:sz w:val="16"/>
          <w:szCs w:val="16"/>
          <w:lang w:eastAsia="de-DE"/>
        </w:rPr>
        <w:t>Stand</w:t>
      </w:r>
      <w:r>
        <w:rPr>
          <w:rFonts w:ascii="Helvetica" w:eastAsia="Times New Roman" w:hAnsi="Helvetica" w:cs="Times New Roman"/>
          <w:color w:val="072A5B"/>
          <w:spacing w:val="6"/>
          <w:sz w:val="16"/>
          <w:szCs w:val="16"/>
          <w:lang w:eastAsia="de-DE"/>
        </w:rPr>
        <w:t>:</w:t>
      </w:r>
      <w:r w:rsidRPr="00EF78C9">
        <w:rPr>
          <w:rFonts w:ascii="Helvetica" w:eastAsia="Times New Roman" w:hAnsi="Helvetica" w:cs="Times New Roman"/>
          <w:color w:val="072A5B"/>
          <w:spacing w:val="6"/>
          <w:sz w:val="16"/>
          <w:szCs w:val="16"/>
          <w:lang w:eastAsia="de-DE"/>
        </w:rPr>
        <w:t xml:space="preserve"> 2019)</w:t>
      </w:r>
      <w:bookmarkStart w:id="0" w:name="_GoBack"/>
      <w:bookmarkEnd w:id="0"/>
    </w:p>
    <w:sectPr w:rsidR="00EF78C9" w:rsidRPr="00EF78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8C9"/>
    <w:rsid w:val="00070784"/>
    <w:rsid w:val="00346B7F"/>
    <w:rsid w:val="00364E2E"/>
    <w:rsid w:val="006858F5"/>
    <w:rsid w:val="00A91D25"/>
    <w:rsid w:val="00DC1BEA"/>
    <w:rsid w:val="00EF78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770F0"/>
  <w15:chartTrackingRefBased/>
  <w15:docId w15:val="{B7F90BB7-7BBF-4F42-9573-564C6C1C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93572">
      <w:bodyDiv w:val="1"/>
      <w:marLeft w:val="0"/>
      <w:marRight w:val="0"/>
      <w:marTop w:val="0"/>
      <w:marBottom w:val="0"/>
      <w:divBdr>
        <w:top w:val="none" w:sz="0" w:space="0" w:color="auto"/>
        <w:left w:val="none" w:sz="0" w:space="0" w:color="auto"/>
        <w:bottom w:val="none" w:sz="0" w:space="0" w:color="auto"/>
        <w:right w:val="none" w:sz="0" w:space="0" w:color="auto"/>
      </w:divBdr>
    </w:div>
    <w:div w:id="784346492">
      <w:bodyDiv w:val="1"/>
      <w:marLeft w:val="0"/>
      <w:marRight w:val="0"/>
      <w:marTop w:val="0"/>
      <w:marBottom w:val="0"/>
      <w:divBdr>
        <w:top w:val="none" w:sz="0" w:space="0" w:color="auto"/>
        <w:left w:val="none" w:sz="0" w:space="0" w:color="auto"/>
        <w:bottom w:val="none" w:sz="0" w:space="0" w:color="auto"/>
        <w:right w:val="none" w:sz="0" w:space="0" w:color="auto"/>
      </w:divBdr>
      <w:divsChild>
        <w:div w:id="1564950368">
          <w:marLeft w:val="0"/>
          <w:marRight w:val="0"/>
          <w:marTop w:val="0"/>
          <w:marBottom w:val="0"/>
          <w:divBdr>
            <w:top w:val="none" w:sz="0" w:space="0" w:color="auto"/>
            <w:left w:val="none" w:sz="0" w:space="0" w:color="auto"/>
            <w:bottom w:val="none" w:sz="0" w:space="0" w:color="auto"/>
            <w:right w:val="none" w:sz="0" w:space="0" w:color="auto"/>
          </w:divBdr>
          <w:divsChild>
            <w:div w:id="257299750">
              <w:marLeft w:val="0"/>
              <w:marRight w:val="0"/>
              <w:marTop w:val="0"/>
              <w:marBottom w:val="0"/>
              <w:divBdr>
                <w:top w:val="none" w:sz="0" w:space="0" w:color="auto"/>
                <w:left w:val="none" w:sz="0" w:space="0" w:color="auto"/>
                <w:bottom w:val="none" w:sz="0" w:space="0" w:color="auto"/>
                <w:right w:val="none" w:sz="0" w:space="0" w:color="auto"/>
              </w:divBdr>
            </w:div>
          </w:divsChild>
        </w:div>
        <w:div w:id="1237082979">
          <w:marLeft w:val="0"/>
          <w:marRight w:val="0"/>
          <w:marTop w:val="0"/>
          <w:marBottom w:val="0"/>
          <w:divBdr>
            <w:top w:val="none" w:sz="0" w:space="0" w:color="auto"/>
            <w:left w:val="none" w:sz="0" w:space="0" w:color="auto"/>
            <w:bottom w:val="none" w:sz="0" w:space="0" w:color="auto"/>
            <w:right w:val="none" w:sz="0" w:space="0" w:color="auto"/>
          </w:divBdr>
          <w:divsChild>
            <w:div w:id="1538347242">
              <w:marLeft w:val="0"/>
              <w:marRight w:val="0"/>
              <w:marTop w:val="0"/>
              <w:marBottom w:val="0"/>
              <w:divBdr>
                <w:top w:val="none" w:sz="0" w:space="0" w:color="auto"/>
                <w:left w:val="none" w:sz="0" w:space="0" w:color="auto"/>
                <w:bottom w:val="none" w:sz="0" w:space="0" w:color="auto"/>
                <w:right w:val="none" w:sz="0" w:space="0" w:color="auto"/>
              </w:divBdr>
            </w:div>
          </w:divsChild>
        </w:div>
        <w:div w:id="1292521013">
          <w:marLeft w:val="0"/>
          <w:marRight w:val="0"/>
          <w:marTop w:val="0"/>
          <w:marBottom w:val="0"/>
          <w:divBdr>
            <w:top w:val="none" w:sz="0" w:space="0" w:color="auto"/>
            <w:left w:val="none" w:sz="0" w:space="0" w:color="auto"/>
            <w:bottom w:val="none" w:sz="0" w:space="0" w:color="auto"/>
            <w:right w:val="none" w:sz="0" w:space="0" w:color="auto"/>
          </w:divBdr>
          <w:divsChild>
            <w:div w:id="1739741035">
              <w:marLeft w:val="0"/>
              <w:marRight w:val="0"/>
              <w:marTop w:val="0"/>
              <w:marBottom w:val="0"/>
              <w:divBdr>
                <w:top w:val="none" w:sz="0" w:space="0" w:color="auto"/>
                <w:left w:val="none" w:sz="0" w:space="0" w:color="auto"/>
                <w:bottom w:val="none" w:sz="0" w:space="0" w:color="auto"/>
                <w:right w:val="none" w:sz="0" w:space="0" w:color="auto"/>
              </w:divBdr>
            </w:div>
          </w:divsChild>
        </w:div>
        <w:div w:id="236600422">
          <w:marLeft w:val="0"/>
          <w:marRight w:val="0"/>
          <w:marTop w:val="0"/>
          <w:marBottom w:val="0"/>
          <w:divBdr>
            <w:top w:val="none" w:sz="0" w:space="0" w:color="auto"/>
            <w:left w:val="none" w:sz="0" w:space="0" w:color="auto"/>
            <w:bottom w:val="none" w:sz="0" w:space="0" w:color="auto"/>
            <w:right w:val="none" w:sz="0" w:space="0" w:color="auto"/>
          </w:divBdr>
          <w:divsChild>
            <w:div w:id="155773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R. STAHL Aktiengesellschaft</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Schrickel, Tanja</dc:creator>
  <cp:keywords/>
  <dc:description/>
  <cp:lastModifiedBy>Schrickel, Tanja</cp:lastModifiedBy>
  <cp:revision>4</cp:revision>
  <dcterms:created xsi:type="dcterms:W3CDTF">2021-01-19T14:45:00Z</dcterms:created>
  <dcterms:modified xsi:type="dcterms:W3CDTF">2021-01-27T10:09:00Z</dcterms:modified>
</cp:coreProperties>
</file>