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C9" w:rsidRDefault="00EF78C9" w:rsidP="00EF78C9">
      <w:pPr>
        <w:shd w:val="clear" w:color="auto" w:fill="FFFFFF"/>
        <w:spacing w:after="345" w:line="510" w:lineRule="atLeast"/>
        <w:jc w:val="right"/>
        <w:outlineLvl w:val="1"/>
        <w:rPr>
          <w:rFonts w:ascii="Times New Roman" w:eastAsia="Times New Roman" w:hAnsi="Times New Roman" w:cs="Times New Roman"/>
          <w:caps/>
          <w:sz w:val="45"/>
          <w:szCs w:val="45"/>
          <w:lang w:eastAsia="de-DE"/>
        </w:rPr>
      </w:pPr>
      <w:bookmarkStart w:id="0" w:name="_GoBack"/>
      <w:bookmarkEnd w:id="0"/>
      <w:r>
        <w:rPr>
          <w:noProof/>
          <w:lang w:eastAsia="de-DE"/>
        </w:rPr>
        <w:drawing>
          <wp:inline distT="0" distB="0" distL="0" distR="0" wp14:anchorId="0C78D1F3" wp14:editId="069D2C2E">
            <wp:extent cx="1065251" cy="603733"/>
            <wp:effectExtent l="0" t="0" r="1905" b="6350"/>
            <wp:docPr id="1" name="Bild 1" descr="https://www--stahl--de.s-cms01.stahl.de/fileadmin/Dateien/extranet/Logos/Logos_rv19/RGB/R_STAHL_Logo_Frei_RGB_Size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hl--de.s-cms01.stahl.de/fileadmin/Dateien/extranet/Logos/Logos_rv19/RGB/R_STAHL_Logo_Frei_RGB_Size_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536" cy="618630"/>
                    </a:xfrm>
                    <a:prstGeom prst="rect">
                      <a:avLst/>
                    </a:prstGeom>
                    <a:noFill/>
                    <a:ln>
                      <a:noFill/>
                    </a:ln>
                  </pic:spPr>
                </pic:pic>
              </a:graphicData>
            </a:graphic>
          </wp:inline>
        </w:drawing>
      </w:r>
    </w:p>
    <w:p w:rsidR="00EF78C9" w:rsidRPr="00C0515C" w:rsidRDefault="00DC1BEA" w:rsidP="00EF78C9">
      <w:pPr>
        <w:shd w:val="clear" w:color="auto" w:fill="FFFFFF"/>
        <w:spacing w:after="345" w:line="510" w:lineRule="atLeast"/>
        <w:outlineLvl w:val="1"/>
        <w:rPr>
          <w:rFonts w:ascii="Helvetica" w:eastAsia="Times New Roman" w:hAnsi="Helvetica" w:cs="Times New Roman"/>
          <w:b/>
          <w:color w:val="072A5B"/>
          <w:spacing w:val="6"/>
          <w:sz w:val="32"/>
          <w:szCs w:val="32"/>
          <w:lang w:val="en-US" w:eastAsia="de-DE"/>
        </w:rPr>
      </w:pPr>
      <w:r w:rsidRPr="00C0515C">
        <w:rPr>
          <w:rFonts w:ascii="Helvetica" w:eastAsia="Times New Roman" w:hAnsi="Helvetica" w:cs="Times New Roman"/>
          <w:b/>
          <w:color w:val="072A5B"/>
          <w:spacing w:val="6"/>
          <w:sz w:val="32"/>
          <w:szCs w:val="32"/>
          <w:lang w:val="en-US" w:eastAsia="de-DE"/>
        </w:rPr>
        <w:t xml:space="preserve">CORPORATE GOVERNANCE </w:t>
      </w:r>
      <w:r w:rsidR="00C0515C" w:rsidRPr="00C0515C">
        <w:rPr>
          <w:rFonts w:ascii="Helvetica" w:eastAsia="Times New Roman" w:hAnsi="Helvetica" w:cs="Times New Roman"/>
          <w:b/>
          <w:color w:val="072A5B"/>
          <w:spacing w:val="6"/>
          <w:sz w:val="32"/>
          <w:szCs w:val="32"/>
          <w:lang w:val="en-US" w:eastAsia="de-DE"/>
        </w:rPr>
        <w:t>REPORT</w:t>
      </w:r>
    </w:p>
    <w:p w:rsidR="00DC1BEA" w:rsidRPr="00C0515C" w:rsidRDefault="00C0515C" w:rsidP="00DC1BEA">
      <w:pPr>
        <w:shd w:val="clear" w:color="auto" w:fill="FFFFFF"/>
        <w:spacing w:after="120" w:line="315" w:lineRule="atLeast"/>
        <w:jc w:val="both"/>
        <w:rPr>
          <w:rFonts w:ascii="Helvetica" w:eastAsia="Times New Roman" w:hAnsi="Helvetica" w:cs="Times New Roman"/>
          <w:b/>
          <w:color w:val="072A5B"/>
          <w:spacing w:val="6"/>
          <w:sz w:val="26"/>
          <w:szCs w:val="26"/>
          <w:lang w:val="en-US" w:eastAsia="de-DE"/>
        </w:rPr>
      </w:pPr>
      <w:r w:rsidRPr="00C0515C">
        <w:rPr>
          <w:rFonts w:ascii="Helvetica" w:eastAsia="Times New Roman" w:hAnsi="Helvetica" w:cs="Times New Roman"/>
          <w:b/>
          <w:color w:val="072A5B"/>
          <w:spacing w:val="6"/>
          <w:sz w:val="26"/>
          <w:szCs w:val="26"/>
          <w:lang w:val="en-US" w:eastAsia="de-DE"/>
        </w:rPr>
        <w:t>EXECUTIVE BOARD</w:t>
      </w: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r w:rsidRPr="00C0515C">
        <w:rPr>
          <w:rFonts w:ascii="Helvetica" w:eastAsia="Times New Roman" w:hAnsi="Helvetica" w:cs="Times New Roman"/>
          <w:color w:val="072A5B"/>
          <w:spacing w:val="6"/>
          <w:sz w:val="24"/>
          <w:szCs w:val="24"/>
          <w:lang w:val="en-US" w:eastAsia="de-DE"/>
        </w:rPr>
        <w:t xml:space="preserve">The German law governing the commensurate remuneration of executive board members, </w:t>
      </w:r>
      <w:proofErr w:type="spellStart"/>
      <w:r w:rsidRPr="00C0515C">
        <w:rPr>
          <w:rFonts w:ascii="Helvetica" w:eastAsia="Times New Roman" w:hAnsi="Helvetica" w:cs="Times New Roman"/>
          <w:color w:val="072A5B"/>
          <w:spacing w:val="6"/>
          <w:sz w:val="24"/>
          <w:szCs w:val="24"/>
          <w:lang w:val="en-US" w:eastAsia="de-DE"/>
        </w:rPr>
        <w:t>VorstAG</w:t>
      </w:r>
      <w:proofErr w:type="spellEnd"/>
      <w:r w:rsidRPr="00C0515C">
        <w:rPr>
          <w:rFonts w:ascii="Helvetica" w:eastAsia="Times New Roman" w:hAnsi="Helvetica" w:cs="Times New Roman"/>
          <w:color w:val="072A5B"/>
          <w:spacing w:val="6"/>
          <w:sz w:val="24"/>
          <w:szCs w:val="24"/>
          <w:lang w:val="en-US" w:eastAsia="de-DE"/>
        </w:rPr>
        <w:t xml:space="preserve">, came into force in 2009 and requires supervisory boards to ensure that the total salaries of members of executive boards do not exceed remuneration levels considered standard in the industries and markets within which the company operates. In 2015, the Supervisory Board commissioned an independent consultancy to assess whether the salaries of the Executive Board members were in line with the requirements of </w:t>
      </w:r>
      <w:proofErr w:type="spellStart"/>
      <w:r w:rsidRPr="00C0515C">
        <w:rPr>
          <w:rFonts w:ascii="Helvetica" w:eastAsia="Times New Roman" w:hAnsi="Helvetica" w:cs="Times New Roman"/>
          <w:color w:val="072A5B"/>
          <w:spacing w:val="6"/>
          <w:sz w:val="24"/>
          <w:szCs w:val="24"/>
          <w:lang w:val="en-US" w:eastAsia="de-DE"/>
        </w:rPr>
        <w:t>VorstAG</w:t>
      </w:r>
      <w:proofErr w:type="spellEnd"/>
      <w:r w:rsidRPr="00C0515C">
        <w:rPr>
          <w:rFonts w:ascii="Helvetica" w:eastAsia="Times New Roman" w:hAnsi="Helvetica" w:cs="Times New Roman"/>
          <w:color w:val="072A5B"/>
          <w:spacing w:val="6"/>
          <w:sz w:val="24"/>
          <w:szCs w:val="24"/>
          <w:lang w:val="en-US" w:eastAsia="de-DE"/>
        </w:rPr>
        <w:t xml:space="preserve">. </w:t>
      </w:r>
      <w:proofErr w:type="spellStart"/>
      <w:r w:rsidRPr="00C0515C">
        <w:rPr>
          <w:rFonts w:ascii="Helvetica" w:eastAsia="Times New Roman" w:hAnsi="Helvetica" w:cs="Times New Roman"/>
          <w:color w:val="072A5B"/>
          <w:spacing w:val="6"/>
          <w:sz w:val="24"/>
          <w:szCs w:val="24"/>
          <w:lang w:val="en-US" w:eastAsia="de-DE"/>
        </w:rPr>
        <w:t>Kienbaum</w:t>
      </w:r>
      <w:proofErr w:type="spellEnd"/>
      <w:r w:rsidRPr="00C0515C">
        <w:rPr>
          <w:rFonts w:ascii="Helvetica" w:eastAsia="Times New Roman" w:hAnsi="Helvetica" w:cs="Times New Roman"/>
          <w:color w:val="072A5B"/>
          <w:spacing w:val="6"/>
          <w:sz w:val="24"/>
          <w:szCs w:val="24"/>
          <w:lang w:val="en-US" w:eastAsia="de-DE"/>
        </w:rPr>
        <w:t xml:space="preserve"> Management Consultants GmbH was the company appointed to conduct the assessment. This consultancy found the salaries of the Executive Board members to be in line with standard remuneration levels in R.</w:t>
      </w:r>
      <w:r>
        <w:rPr>
          <w:rFonts w:ascii="Helvetica" w:eastAsia="Times New Roman" w:hAnsi="Helvetica" w:cs="Times New Roman"/>
          <w:color w:val="072A5B"/>
          <w:spacing w:val="6"/>
          <w:sz w:val="24"/>
          <w:szCs w:val="24"/>
          <w:lang w:val="en-US" w:eastAsia="de-DE"/>
        </w:rPr>
        <w:t> </w:t>
      </w:r>
      <w:r w:rsidRPr="00C0515C">
        <w:rPr>
          <w:rFonts w:ascii="Helvetica" w:eastAsia="Times New Roman" w:hAnsi="Helvetica" w:cs="Times New Roman"/>
          <w:color w:val="072A5B"/>
          <w:spacing w:val="6"/>
          <w:sz w:val="24"/>
          <w:szCs w:val="24"/>
          <w:lang w:val="en-US" w:eastAsia="de-DE"/>
        </w:rPr>
        <w:t xml:space="preserve">STAHL's market, and made no recommendations for any changes to Executive Board members' remuneration. The Executive Board members' remuneration </w:t>
      </w:r>
      <w:proofErr w:type="gramStart"/>
      <w:r w:rsidRPr="00C0515C">
        <w:rPr>
          <w:rFonts w:ascii="Helvetica" w:eastAsia="Times New Roman" w:hAnsi="Helvetica" w:cs="Times New Roman"/>
          <w:color w:val="072A5B"/>
          <w:spacing w:val="6"/>
          <w:sz w:val="24"/>
          <w:szCs w:val="24"/>
          <w:lang w:val="en-US" w:eastAsia="de-DE"/>
        </w:rPr>
        <w:t>is additionally assessed</w:t>
      </w:r>
      <w:proofErr w:type="gramEnd"/>
      <w:r w:rsidRPr="00C0515C">
        <w:rPr>
          <w:rFonts w:ascii="Helvetica" w:eastAsia="Times New Roman" w:hAnsi="Helvetica" w:cs="Times New Roman"/>
          <w:color w:val="072A5B"/>
          <w:spacing w:val="6"/>
          <w:sz w:val="24"/>
          <w:szCs w:val="24"/>
          <w:lang w:val="en-US" w:eastAsia="de-DE"/>
        </w:rPr>
        <w:t xml:space="preserve"> once a year to ensure that it continues to be awarded in line with standard market levels.</w:t>
      </w: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r w:rsidRPr="00C0515C">
        <w:rPr>
          <w:rFonts w:ascii="Helvetica" w:eastAsia="Times New Roman" w:hAnsi="Helvetica" w:cs="Times New Roman"/>
          <w:color w:val="072A5B"/>
          <w:spacing w:val="6"/>
          <w:sz w:val="24"/>
          <w:szCs w:val="24"/>
          <w:lang w:val="en-US" w:eastAsia="de-DE"/>
        </w:rPr>
        <w:t xml:space="preserve">The remuneration of the Executive Board members </w:t>
      </w:r>
      <w:proofErr w:type="gramStart"/>
      <w:r w:rsidRPr="00C0515C">
        <w:rPr>
          <w:rFonts w:ascii="Helvetica" w:eastAsia="Times New Roman" w:hAnsi="Helvetica" w:cs="Times New Roman"/>
          <w:color w:val="072A5B"/>
          <w:spacing w:val="6"/>
          <w:sz w:val="24"/>
          <w:szCs w:val="24"/>
          <w:lang w:val="en-US" w:eastAsia="de-DE"/>
        </w:rPr>
        <w:t>is listed</w:t>
      </w:r>
      <w:proofErr w:type="gramEnd"/>
      <w:r w:rsidRPr="00C0515C">
        <w:rPr>
          <w:rFonts w:ascii="Helvetica" w:eastAsia="Times New Roman" w:hAnsi="Helvetica" w:cs="Times New Roman"/>
          <w:color w:val="072A5B"/>
          <w:spacing w:val="6"/>
          <w:sz w:val="24"/>
          <w:szCs w:val="24"/>
          <w:lang w:val="en-US" w:eastAsia="de-DE"/>
        </w:rPr>
        <w:t xml:space="preserve"> in the notes to the Group financial statements in the Annual Report for 2018 in accordance with the statutory requirements. The figures </w:t>
      </w:r>
      <w:proofErr w:type="gramStart"/>
      <w:r w:rsidRPr="00C0515C">
        <w:rPr>
          <w:rFonts w:ascii="Helvetica" w:eastAsia="Times New Roman" w:hAnsi="Helvetica" w:cs="Times New Roman"/>
          <w:color w:val="072A5B"/>
          <w:spacing w:val="6"/>
          <w:sz w:val="24"/>
          <w:szCs w:val="24"/>
          <w:lang w:val="en-US" w:eastAsia="de-DE"/>
        </w:rPr>
        <w:t>are presented</w:t>
      </w:r>
      <w:proofErr w:type="gramEnd"/>
      <w:r w:rsidRPr="00C0515C">
        <w:rPr>
          <w:rFonts w:ascii="Helvetica" w:eastAsia="Times New Roman" w:hAnsi="Helvetica" w:cs="Times New Roman"/>
          <w:color w:val="072A5B"/>
          <w:spacing w:val="6"/>
          <w:sz w:val="24"/>
          <w:szCs w:val="24"/>
          <w:lang w:val="en-US" w:eastAsia="de-DE"/>
        </w:rPr>
        <w:t xml:space="preserve"> for each individual and are broken down into their fixed and variable components.</w:t>
      </w: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r w:rsidRPr="00C0515C">
        <w:rPr>
          <w:rFonts w:ascii="Helvetica" w:eastAsia="Times New Roman" w:hAnsi="Helvetica" w:cs="Times New Roman"/>
          <w:color w:val="072A5B"/>
          <w:spacing w:val="6"/>
          <w:sz w:val="24"/>
          <w:szCs w:val="24"/>
          <w:lang w:val="en-US" w:eastAsia="de-DE"/>
        </w:rPr>
        <w:t>R. STAHL AG has not launched any share purchase plans or similar security-based incentive schemes, either for the Executive Board or other managerial staff or for the Supervisory Board.</w:t>
      </w: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p>
    <w:p w:rsidR="00DC1BEA"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r w:rsidRPr="00C0515C">
        <w:rPr>
          <w:rFonts w:ascii="Helvetica" w:eastAsia="Times New Roman" w:hAnsi="Helvetica" w:cs="Times New Roman"/>
          <w:color w:val="072A5B"/>
          <w:spacing w:val="6"/>
          <w:sz w:val="24"/>
          <w:szCs w:val="24"/>
          <w:lang w:val="en-US" w:eastAsia="de-DE"/>
        </w:rPr>
        <w:t xml:space="preserve">The latest Declaration of Compliance with the German Corporate Governance Code </w:t>
      </w:r>
      <w:proofErr w:type="gramStart"/>
      <w:r w:rsidRPr="00C0515C">
        <w:rPr>
          <w:rFonts w:ascii="Helvetica" w:eastAsia="Times New Roman" w:hAnsi="Helvetica" w:cs="Times New Roman"/>
          <w:color w:val="072A5B"/>
          <w:spacing w:val="6"/>
          <w:sz w:val="24"/>
          <w:szCs w:val="24"/>
          <w:lang w:val="en-US" w:eastAsia="de-DE"/>
        </w:rPr>
        <w:t>can be found</w:t>
      </w:r>
      <w:proofErr w:type="gramEnd"/>
      <w:r w:rsidRPr="00C0515C">
        <w:rPr>
          <w:rFonts w:ascii="Helvetica" w:eastAsia="Times New Roman" w:hAnsi="Helvetica" w:cs="Times New Roman"/>
          <w:color w:val="072A5B"/>
          <w:spacing w:val="6"/>
          <w:sz w:val="24"/>
          <w:szCs w:val="24"/>
          <w:lang w:val="en-US" w:eastAsia="de-DE"/>
        </w:rPr>
        <w:t xml:space="preserve"> here.</w:t>
      </w:r>
    </w:p>
    <w:p w:rsidR="00DC1BEA" w:rsidRPr="00C0515C" w:rsidRDefault="00DC1BEA" w:rsidP="00DC1BEA">
      <w:pPr>
        <w:shd w:val="clear" w:color="auto" w:fill="FFFFFF"/>
        <w:spacing w:after="0" w:line="315" w:lineRule="atLeast"/>
        <w:jc w:val="both"/>
        <w:rPr>
          <w:rFonts w:ascii="Helvetica" w:eastAsia="Times New Roman" w:hAnsi="Helvetica" w:cs="Times New Roman"/>
          <w:color w:val="072A5B"/>
          <w:spacing w:val="6"/>
          <w:sz w:val="26"/>
          <w:szCs w:val="26"/>
          <w:lang w:val="en-US" w:eastAsia="de-DE"/>
        </w:rPr>
      </w:pPr>
    </w:p>
    <w:p w:rsidR="00DC1BEA" w:rsidRPr="00C0515C" w:rsidRDefault="00DC1BEA" w:rsidP="00DC1BEA">
      <w:pPr>
        <w:shd w:val="clear" w:color="auto" w:fill="FFFFFF"/>
        <w:spacing w:after="0" w:line="315" w:lineRule="atLeast"/>
        <w:jc w:val="both"/>
        <w:rPr>
          <w:rFonts w:ascii="Helvetica" w:eastAsia="Times New Roman" w:hAnsi="Helvetica" w:cs="Times New Roman"/>
          <w:color w:val="072A5B"/>
          <w:spacing w:val="6"/>
          <w:sz w:val="26"/>
          <w:szCs w:val="26"/>
          <w:lang w:val="en-US" w:eastAsia="de-DE"/>
        </w:rPr>
      </w:pPr>
    </w:p>
    <w:p w:rsidR="00DC1BEA" w:rsidRPr="00C0515C" w:rsidRDefault="00C0515C" w:rsidP="00DC1BEA">
      <w:pPr>
        <w:shd w:val="clear" w:color="auto" w:fill="FFFFFF"/>
        <w:spacing w:after="120" w:line="315" w:lineRule="atLeast"/>
        <w:jc w:val="both"/>
        <w:rPr>
          <w:rFonts w:ascii="Helvetica" w:eastAsia="Times New Roman" w:hAnsi="Helvetica" w:cs="Times New Roman"/>
          <w:b/>
          <w:color w:val="072A5B"/>
          <w:spacing w:val="6"/>
          <w:sz w:val="26"/>
          <w:szCs w:val="26"/>
          <w:lang w:val="en-US" w:eastAsia="de-DE"/>
        </w:rPr>
      </w:pPr>
      <w:r w:rsidRPr="00C0515C">
        <w:rPr>
          <w:rFonts w:ascii="Helvetica" w:eastAsia="Times New Roman" w:hAnsi="Helvetica" w:cs="Times New Roman"/>
          <w:b/>
          <w:color w:val="072A5B"/>
          <w:spacing w:val="6"/>
          <w:sz w:val="26"/>
          <w:szCs w:val="26"/>
          <w:lang w:val="en-US" w:eastAsia="de-DE"/>
        </w:rPr>
        <w:t>SUPERVISORY BOARD</w:t>
      </w: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proofErr w:type="gramStart"/>
      <w:r w:rsidRPr="00C0515C">
        <w:rPr>
          <w:rFonts w:ascii="Helvetica" w:eastAsia="Times New Roman" w:hAnsi="Helvetica" w:cs="Times New Roman"/>
          <w:color w:val="072A5B"/>
          <w:spacing w:val="6"/>
          <w:sz w:val="24"/>
          <w:szCs w:val="24"/>
          <w:lang w:val="en-US" w:eastAsia="de-DE"/>
        </w:rPr>
        <w:t>R. STAHL AG's Supervisory Board is formed and functions in accordance with Germany's One-Third Participation Act (</w:t>
      </w:r>
      <w:proofErr w:type="spellStart"/>
      <w:r w:rsidRPr="00C0515C">
        <w:rPr>
          <w:rFonts w:ascii="Helvetica" w:eastAsia="Times New Roman" w:hAnsi="Helvetica" w:cs="Times New Roman"/>
          <w:color w:val="072A5B"/>
          <w:spacing w:val="6"/>
          <w:sz w:val="24"/>
          <w:szCs w:val="24"/>
          <w:lang w:val="en-US" w:eastAsia="de-DE"/>
        </w:rPr>
        <w:t>DrittelbG</w:t>
      </w:r>
      <w:proofErr w:type="spellEnd"/>
      <w:r w:rsidRPr="00C0515C">
        <w:rPr>
          <w:rFonts w:ascii="Helvetica" w:eastAsia="Times New Roman" w:hAnsi="Helvetica" w:cs="Times New Roman"/>
          <w:color w:val="072A5B"/>
          <w:spacing w:val="6"/>
          <w:sz w:val="24"/>
          <w:szCs w:val="24"/>
          <w:lang w:val="en-US" w:eastAsia="de-DE"/>
        </w:rPr>
        <w:t>) and consists of nine members (thereof eight positions filled currently) according to the Articles of Incorporation: Three of these members are employee representatives, and the other six (thereof five positions filled currently), which includes three members of the family that founded the company, are shareholder representatives.</w:t>
      </w:r>
      <w:proofErr w:type="gramEnd"/>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r w:rsidRPr="00C0515C">
        <w:rPr>
          <w:rFonts w:ascii="Helvetica" w:eastAsia="Times New Roman" w:hAnsi="Helvetica" w:cs="Times New Roman"/>
          <w:color w:val="072A5B"/>
          <w:spacing w:val="6"/>
          <w:sz w:val="24"/>
          <w:szCs w:val="24"/>
          <w:lang w:val="en-US" w:eastAsia="de-DE"/>
        </w:rPr>
        <w:t xml:space="preserve">R. STAHL has a global customer base and has an international outlook that </w:t>
      </w:r>
      <w:proofErr w:type="gramStart"/>
      <w:r w:rsidRPr="00C0515C">
        <w:rPr>
          <w:rFonts w:ascii="Helvetica" w:eastAsia="Times New Roman" w:hAnsi="Helvetica" w:cs="Times New Roman"/>
          <w:color w:val="072A5B"/>
          <w:spacing w:val="6"/>
          <w:sz w:val="24"/>
          <w:szCs w:val="24"/>
          <w:lang w:val="en-US" w:eastAsia="de-DE"/>
        </w:rPr>
        <w:t>is also reflected</w:t>
      </w:r>
      <w:proofErr w:type="gramEnd"/>
      <w:r w:rsidRPr="00C0515C">
        <w:rPr>
          <w:rFonts w:ascii="Helvetica" w:eastAsia="Times New Roman" w:hAnsi="Helvetica" w:cs="Times New Roman"/>
          <w:color w:val="072A5B"/>
          <w:spacing w:val="6"/>
          <w:sz w:val="24"/>
          <w:szCs w:val="24"/>
          <w:lang w:val="en-US" w:eastAsia="de-DE"/>
        </w:rPr>
        <w:t xml:space="preserve"> in the Supervisory Board, as several of its members have experience </w:t>
      </w:r>
      <w:r w:rsidRPr="00C0515C">
        <w:rPr>
          <w:rFonts w:ascii="Helvetica" w:eastAsia="Times New Roman" w:hAnsi="Helvetica" w:cs="Times New Roman"/>
          <w:color w:val="072A5B"/>
          <w:spacing w:val="6"/>
          <w:sz w:val="24"/>
          <w:szCs w:val="24"/>
          <w:lang w:val="en-US" w:eastAsia="de-DE"/>
        </w:rPr>
        <w:lastRenderedPageBreak/>
        <w:t>overseas. Two members of the Supervisory Board are woman, contributing to 22.22% of its membership.</w:t>
      </w: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r w:rsidRPr="00C0515C">
        <w:rPr>
          <w:rFonts w:ascii="Helvetica" w:eastAsia="Times New Roman" w:hAnsi="Helvetica" w:cs="Times New Roman"/>
          <w:color w:val="072A5B"/>
          <w:spacing w:val="6"/>
          <w:sz w:val="24"/>
          <w:szCs w:val="24"/>
          <w:lang w:val="en-US" w:eastAsia="de-DE"/>
        </w:rPr>
        <w:t xml:space="preserve">There are no conflicts of interest concerning any of the current Supervisory Board members. Before new people can be nominated for board membership, we deem it important to ensure that no conflicts of interest will arise </w:t>
      </w:r>
      <w:proofErr w:type="gramStart"/>
      <w:r w:rsidRPr="00C0515C">
        <w:rPr>
          <w:rFonts w:ascii="Helvetica" w:eastAsia="Times New Roman" w:hAnsi="Helvetica" w:cs="Times New Roman"/>
          <w:color w:val="072A5B"/>
          <w:spacing w:val="6"/>
          <w:sz w:val="24"/>
          <w:szCs w:val="24"/>
          <w:lang w:val="en-US" w:eastAsia="de-DE"/>
        </w:rPr>
        <w:t>as a result</w:t>
      </w:r>
      <w:proofErr w:type="gramEnd"/>
      <w:r w:rsidRPr="00C0515C">
        <w:rPr>
          <w:rFonts w:ascii="Helvetica" w:eastAsia="Times New Roman" w:hAnsi="Helvetica" w:cs="Times New Roman"/>
          <w:color w:val="072A5B"/>
          <w:spacing w:val="6"/>
          <w:sz w:val="24"/>
          <w:szCs w:val="24"/>
          <w:lang w:val="en-US" w:eastAsia="de-DE"/>
        </w:rPr>
        <w:t xml:space="preserve"> of their membership.</w:t>
      </w: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r w:rsidRPr="00C0515C">
        <w:rPr>
          <w:rFonts w:ascii="Helvetica" w:eastAsia="Times New Roman" w:hAnsi="Helvetica" w:cs="Times New Roman"/>
          <w:color w:val="072A5B"/>
          <w:spacing w:val="6"/>
          <w:sz w:val="24"/>
          <w:szCs w:val="24"/>
          <w:lang w:val="en-US" w:eastAsia="de-DE"/>
        </w:rPr>
        <w:t>To maximize its effectiveness when performing its duties, the Supervisory Board has set up three permanent specialist committees: The Audit Committee, Management Committee and Strategy Committee.</w:t>
      </w: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p>
    <w:p w:rsidR="00DC1BEA"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r w:rsidRPr="00C0515C">
        <w:rPr>
          <w:rFonts w:ascii="Helvetica" w:eastAsia="Times New Roman" w:hAnsi="Helvetica" w:cs="Times New Roman"/>
          <w:color w:val="072A5B"/>
          <w:spacing w:val="6"/>
          <w:sz w:val="24"/>
          <w:szCs w:val="24"/>
          <w:lang w:val="en-US" w:eastAsia="de-DE"/>
        </w:rPr>
        <w:t xml:space="preserve">As of 31 December 2019, members of the Supervisory Board held in total 2.34 % of the voting capital. In the remuneration report, the salary of each individual Supervisory Board member is broken down into its fixed and performance-based components </w:t>
      </w:r>
      <w:proofErr w:type="gramStart"/>
      <w:r w:rsidRPr="00C0515C">
        <w:rPr>
          <w:rFonts w:ascii="Helvetica" w:eastAsia="Times New Roman" w:hAnsi="Helvetica" w:cs="Times New Roman"/>
          <w:color w:val="072A5B"/>
          <w:spacing w:val="6"/>
          <w:sz w:val="24"/>
          <w:szCs w:val="24"/>
          <w:lang w:val="en-US" w:eastAsia="de-DE"/>
        </w:rPr>
        <w:t>is provided</w:t>
      </w:r>
      <w:proofErr w:type="gramEnd"/>
      <w:r w:rsidRPr="00C0515C">
        <w:rPr>
          <w:rFonts w:ascii="Helvetica" w:eastAsia="Times New Roman" w:hAnsi="Helvetica" w:cs="Times New Roman"/>
          <w:color w:val="072A5B"/>
          <w:spacing w:val="6"/>
          <w:sz w:val="24"/>
          <w:szCs w:val="24"/>
          <w:lang w:val="en-US" w:eastAsia="de-DE"/>
        </w:rPr>
        <w:t>.</w:t>
      </w:r>
    </w:p>
    <w:p w:rsidR="00DC1BEA" w:rsidRPr="00C0515C" w:rsidRDefault="00DC1BEA" w:rsidP="00DC1BEA">
      <w:pPr>
        <w:shd w:val="clear" w:color="auto" w:fill="FFFFFF"/>
        <w:spacing w:after="0" w:line="315" w:lineRule="atLeast"/>
        <w:jc w:val="both"/>
        <w:rPr>
          <w:rFonts w:ascii="Helvetica" w:eastAsia="Times New Roman" w:hAnsi="Helvetica" w:cs="Times New Roman"/>
          <w:color w:val="072A5B"/>
          <w:spacing w:val="6"/>
          <w:sz w:val="26"/>
          <w:szCs w:val="26"/>
          <w:lang w:val="en-US" w:eastAsia="de-DE"/>
        </w:rPr>
      </w:pPr>
    </w:p>
    <w:p w:rsidR="00DC1BEA" w:rsidRPr="00C0515C" w:rsidRDefault="00DC1BEA" w:rsidP="00DC1BEA">
      <w:pPr>
        <w:shd w:val="clear" w:color="auto" w:fill="FFFFFF"/>
        <w:spacing w:after="0" w:line="315" w:lineRule="atLeast"/>
        <w:jc w:val="both"/>
        <w:rPr>
          <w:rFonts w:ascii="Helvetica" w:eastAsia="Times New Roman" w:hAnsi="Helvetica" w:cs="Times New Roman"/>
          <w:color w:val="072A5B"/>
          <w:spacing w:val="6"/>
          <w:sz w:val="26"/>
          <w:szCs w:val="26"/>
          <w:lang w:val="en-US" w:eastAsia="de-DE"/>
        </w:rPr>
      </w:pPr>
    </w:p>
    <w:p w:rsidR="00DC1BEA" w:rsidRPr="00C0515C" w:rsidRDefault="00C0515C" w:rsidP="00DC1BEA">
      <w:pPr>
        <w:shd w:val="clear" w:color="auto" w:fill="FFFFFF"/>
        <w:spacing w:after="120" w:line="315" w:lineRule="atLeast"/>
        <w:jc w:val="both"/>
        <w:rPr>
          <w:rFonts w:ascii="Helvetica" w:eastAsia="Times New Roman" w:hAnsi="Helvetica" w:cs="Times New Roman"/>
          <w:b/>
          <w:color w:val="072A5B"/>
          <w:spacing w:val="6"/>
          <w:sz w:val="26"/>
          <w:szCs w:val="26"/>
          <w:lang w:val="en-US" w:eastAsia="de-DE"/>
        </w:rPr>
      </w:pPr>
      <w:r w:rsidRPr="00C0515C">
        <w:rPr>
          <w:rFonts w:ascii="Helvetica" w:eastAsia="Times New Roman" w:hAnsi="Helvetica" w:cs="Times New Roman"/>
          <w:b/>
          <w:color w:val="072A5B"/>
          <w:spacing w:val="6"/>
          <w:sz w:val="26"/>
          <w:szCs w:val="26"/>
          <w:lang w:val="en-US" w:eastAsia="de-DE"/>
        </w:rPr>
        <w:t>AGM</w:t>
      </w: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r w:rsidRPr="00C0515C">
        <w:rPr>
          <w:rFonts w:ascii="Helvetica" w:eastAsia="Times New Roman" w:hAnsi="Helvetica" w:cs="Times New Roman"/>
          <w:color w:val="072A5B"/>
          <w:spacing w:val="6"/>
          <w:sz w:val="24"/>
          <w:szCs w:val="24"/>
          <w:lang w:val="en-US" w:eastAsia="de-DE"/>
        </w:rPr>
        <w:t xml:space="preserve">Every R. STAHL AG share has a vote. Shareholders who </w:t>
      </w:r>
      <w:proofErr w:type="gramStart"/>
      <w:r w:rsidRPr="00C0515C">
        <w:rPr>
          <w:rFonts w:ascii="Helvetica" w:eastAsia="Times New Roman" w:hAnsi="Helvetica" w:cs="Times New Roman"/>
          <w:color w:val="072A5B"/>
          <w:spacing w:val="6"/>
          <w:sz w:val="24"/>
          <w:szCs w:val="24"/>
          <w:lang w:val="en-US" w:eastAsia="de-DE"/>
        </w:rPr>
        <w:t>are listed</w:t>
      </w:r>
      <w:proofErr w:type="gramEnd"/>
      <w:r w:rsidRPr="00C0515C">
        <w:rPr>
          <w:rFonts w:ascii="Helvetica" w:eastAsia="Times New Roman" w:hAnsi="Helvetica" w:cs="Times New Roman"/>
          <w:color w:val="072A5B"/>
          <w:spacing w:val="6"/>
          <w:sz w:val="24"/>
          <w:szCs w:val="24"/>
          <w:lang w:val="en-US" w:eastAsia="de-DE"/>
        </w:rPr>
        <w:t xml:space="preserve"> in the share register and have registered in accordance with the conditions for participation as stipulated by law and in the company's memoranda and articles of association are entitled to participate in the AGM.</w:t>
      </w: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p>
    <w:p w:rsidR="00DC1BEA"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r w:rsidRPr="00C0515C">
        <w:rPr>
          <w:rFonts w:ascii="Helvetica" w:eastAsia="Times New Roman" w:hAnsi="Helvetica" w:cs="Times New Roman"/>
          <w:color w:val="072A5B"/>
          <w:spacing w:val="6"/>
          <w:sz w:val="24"/>
          <w:szCs w:val="24"/>
          <w:lang w:val="en-US" w:eastAsia="de-DE"/>
        </w:rPr>
        <w:t xml:space="preserve">The 26th AGM </w:t>
      </w:r>
      <w:proofErr w:type="gramStart"/>
      <w:r w:rsidRPr="00C0515C">
        <w:rPr>
          <w:rFonts w:ascii="Helvetica" w:eastAsia="Times New Roman" w:hAnsi="Helvetica" w:cs="Times New Roman"/>
          <w:color w:val="072A5B"/>
          <w:spacing w:val="6"/>
          <w:sz w:val="24"/>
          <w:szCs w:val="24"/>
          <w:lang w:val="en-US" w:eastAsia="de-DE"/>
        </w:rPr>
        <w:t>was held</w:t>
      </w:r>
      <w:proofErr w:type="gramEnd"/>
      <w:r w:rsidRPr="00C0515C">
        <w:rPr>
          <w:rFonts w:ascii="Helvetica" w:eastAsia="Times New Roman" w:hAnsi="Helvetica" w:cs="Times New Roman"/>
          <w:color w:val="072A5B"/>
          <w:spacing w:val="6"/>
          <w:sz w:val="24"/>
          <w:szCs w:val="24"/>
          <w:lang w:val="en-US" w:eastAsia="de-DE"/>
        </w:rPr>
        <w:t xml:space="preserve"> on 7 June 2019 in the CARMEN WÜRTH FORUM in </w:t>
      </w:r>
      <w:proofErr w:type="spellStart"/>
      <w:r w:rsidRPr="00C0515C">
        <w:rPr>
          <w:rFonts w:ascii="Helvetica" w:eastAsia="Times New Roman" w:hAnsi="Helvetica" w:cs="Times New Roman"/>
          <w:color w:val="072A5B"/>
          <w:spacing w:val="6"/>
          <w:sz w:val="24"/>
          <w:szCs w:val="24"/>
          <w:lang w:val="en-US" w:eastAsia="de-DE"/>
        </w:rPr>
        <w:t>Künzelsau-Gaisbach</w:t>
      </w:r>
      <w:proofErr w:type="spellEnd"/>
      <w:r w:rsidRPr="00C0515C">
        <w:rPr>
          <w:rFonts w:ascii="Helvetica" w:eastAsia="Times New Roman" w:hAnsi="Helvetica" w:cs="Times New Roman"/>
          <w:color w:val="072A5B"/>
          <w:spacing w:val="6"/>
          <w:sz w:val="24"/>
          <w:szCs w:val="24"/>
          <w:lang w:val="en-US" w:eastAsia="de-DE"/>
        </w:rPr>
        <w:t xml:space="preserve">. In total, 82.7% of the voting capital was present. All items on the agenda that </w:t>
      </w:r>
      <w:proofErr w:type="gramStart"/>
      <w:r w:rsidRPr="00C0515C">
        <w:rPr>
          <w:rFonts w:ascii="Helvetica" w:eastAsia="Times New Roman" w:hAnsi="Helvetica" w:cs="Times New Roman"/>
          <w:color w:val="072A5B"/>
          <w:spacing w:val="6"/>
          <w:sz w:val="24"/>
          <w:szCs w:val="24"/>
          <w:lang w:val="en-US" w:eastAsia="de-DE"/>
        </w:rPr>
        <w:t>were put</w:t>
      </w:r>
      <w:proofErr w:type="gramEnd"/>
      <w:r w:rsidRPr="00C0515C">
        <w:rPr>
          <w:rFonts w:ascii="Helvetica" w:eastAsia="Times New Roman" w:hAnsi="Helvetica" w:cs="Times New Roman"/>
          <w:color w:val="072A5B"/>
          <w:spacing w:val="6"/>
          <w:sz w:val="24"/>
          <w:szCs w:val="24"/>
          <w:lang w:val="en-US" w:eastAsia="de-DE"/>
        </w:rPr>
        <w:t xml:space="preserve"> to the vote were adopted with a large majority. The detailed results </w:t>
      </w:r>
      <w:proofErr w:type="gramStart"/>
      <w:r w:rsidRPr="00C0515C">
        <w:rPr>
          <w:rFonts w:ascii="Helvetica" w:eastAsia="Times New Roman" w:hAnsi="Helvetica" w:cs="Times New Roman"/>
          <w:color w:val="072A5B"/>
          <w:spacing w:val="6"/>
          <w:sz w:val="24"/>
          <w:szCs w:val="24"/>
          <w:lang w:val="en-US" w:eastAsia="de-DE"/>
        </w:rPr>
        <w:t>are published</w:t>
      </w:r>
      <w:proofErr w:type="gramEnd"/>
      <w:r w:rsidRPr="00C0515C">
        <w:rPr>
          <w:rFonts w:ascii="Helvetica" w:eastAsia="Times New Roman" w:hAnsi="Helvetica" w:cs="Times New Roman"/>
          <w:color w:val="072A5B"/>
          <w:spacing w:val="6"/>
          <w:sz w:val="24"/>
          <w:szCs w:val="24"/>
          <w:lang w:val="en-US" w:eastAsia="de-DE"/>
        </w:rPr>
        <w:t xml:space="preserve"> in the Investor Relations section on the R. STAHL website under "AGM".</w:t>
      </w:r>
    </w:p>
    <w:p w:rsidR="00DC1BEA" w:rsidRPr="00C0515C" w:rsidRDefault="00DC1BEA" w:rsidP="00DC1BEA">
      <w:pPr>
        <w:shd w:val="clear" w:color="auto" w:fill="FFFFFF"/>
        <w:spacing w:after="0" w:line="315" w:lineRule="atLeast"/>
        <w:jc w:val="both"/>
        <w:rPr>
          <w:rFonts w:ascii="Helvetica" w:eastAsia="Times New Roman" w:hAnsi="Helvetica" w:cs="Times New Roman"/>
          <w:color w:val="072A5B"/>
          <w:spacing w:val="6"/>
          <w:sz w:val="26"/>
          <w:szCs w:val="26"/>
          <w:lang w:val="en-US" w:eastAsia="de-DE"/>
        </w:rPr>
      </w:pPr>
    </w:p>
    <w:p w:rsidR="00DC1BEA" w:rsidRPr="00C0515C" w:rsidRDefault="00DC1BEA" w:rsidP="00DC1BEA">
      <w:pPr>
        <w:shd w:val="clear" w:color="auto" w:fill="FFFFFF"/>
        <w:spacing w:after="0" w:line="315" w:lineRule="atLeast"/>
        <w:jc w:val="both"/>
        <w:rPr>
          <w:rFonts w:ascii="Helvetica" w:eastAsia="Times New Roman" w:hAnsi="Helvetica" w:cs="Times New Roman"/>
          <w:color w:val="072A5B"/>
          <w:spacing w:val="6"/>
          <w:sz w:val="26"/>
          <w:szCs w:val="26"/>
          <w:lang w:val="en-US" w:eastAsia="de-DE"/>
        </w:rPr>
      </w:pPr>
    </w:p>
    <w:p w:rsidR="00DC1BEA" w:rsidRPr="00C0515C" w:rsidRDefault="00C0515C" w:rsidP="00DC1BEA">
      <w:pPr>
        <w:shd w:val="clear" w:color="auto" w:fill="FFFFFF"/>
        <w:spacing w:after="120" w:line="315" w:lineRule="atLeast"/>
        <w:jc w:val="both"/>
        <w:rPr>
          <w:rFonts w:ascii="Helvetica" w:eastAsia="Times New Roman" w:hAnsi="Helvetica" w:cs="Times New Roman"/>
          <w:b/>
          <w:color w:val="072A5B"/>
          <w:spacing w:val="6"/>
          <w:sz w:val="26"/>
          <w:szCs w:val="26"/>
          <w:lang w:val="en-US" w:eastAsia="de-DE"/>
        </w:rPr>
      </w:pPr>
      <w:r w:rsidRPr="00C0515C">
        <w:rPr>
          <w:rFonts w:ascii="Helvetica" w:eastAsia="Times New Roman" w:hAnsi="Helvetica" w:cs="Times New Roman"/>
          <w:b/>
          <w:color w:val="072A5B"/>
          <w:spacing w:val="6"/>
          <w:sz w:val="26"/>
          <w:szCs w:val="26"/>
          <w:lang w:val="en-US" w:eastAsia="de-DE"/>
        </w:rPr>
        <w:t>ACCOUNTING AND AUDITOR</w:t>
      </w: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r w:rsidRPr="00C0515C">
        <w:rPr>
          <w:rFonts w:ascii="Helvetica" w:eastAsia="Times New Roman" w:hAnsi="Helvetica" w:cs="Times New Roman"/>
          <w:color w:val="072A5B"/>
          <w:spacing w:val="6"/>
          <w:sz w:val="24"/>
          <w:szCs w:val="24"/>
          <w:lang w:val="en-US" w:eastAsia="de-DE"/>
        </w:rPr>
        <w:t xml:space="preserve">R. STAHL AG's consolidated accounts for 31 December 2019 were prepared in accordance with the International Financial Reporting Standards (IFRS), and </w:t>
      </w:r>
      <w:r>
        <w:rPr>
          <w:rFonts w:ascii="Helvetica" w:eastAsia="Times New Roman" w:hAnsi="Helvetica" w:cs="Times New Roman"/>
          <w:color w:val="072A5B"/>
          <w:spacing w:val="6"/>
          <w:sz w:val="24"/>
          <w:szCs w:val="24"/>
          <w:lang w:val="en-US" w:eastAsia="de-DE"/>
        </w:rPr>
        <w:br/>
      </w:r>
      <w:r w:rsidRPr="00C0515C">
        <w:rPr>
          <w:rFonts w:ascii="Helvetica" w:eastAsia="Times New Roman" w:hAnsi="Helvetica" w:cs="Times New Roman"/>
          <w:color w:val="072A5B"/>
          <w:spacing w:val="6"/>
          <w:sz w:val="24"/>
          <w:szCs w:val="24"/>
          <w:lang w:val="en-US" w:eastAsia="de-DE"/>
        </w:rPr>
        <w:t>R. STAHL AG's annual accounts for FY2019 were prepared in accordance with the statutory accounting requirements set out in the German Commercial Code (HGB).</w:t>
      </w:r>
    </w:p>
    <w:p w:rsidR="00C0515C"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p>
    <w:p w:rsidR="00EF78C9" w:rsidRPr="00C0515C" w:rsidRDefault="00C0515C" w:rsidP="00C0515C">
      <w:pPr>
        <w:shd w:val="clear" w:color="auto" w:fill="FFFFFF"/>
        <w:spacing w:after="0" w:line="315" w:lineRule="atLeast"/>
        <w:jc w:val="both"/>
        <w:rPr>
          <w:rFonts w:ascii="Helvetica" w:eastAsia="Times New Roman" w:hAnsi="Helvetica" w:cs="Times New Roman"/>
          <w:color w:val="072A5B"/>
          <w:spacing w:val="6"/>
          <w:sz w:val="24"/>
          <w:szCs w:val="24"/>
          <w:lang w:val="en-US" w:eastAsia="de-DE"/>
        </w:rPr>
      </w:pPr>
      <w:r w:rsidRPr="00C0515C">
        <w:rPr>
          <w:rFonts w:ascii="Helvetica" w:eastAsia="Times New Roman" w:hAnsi="Helvetica" w:cs="Times New Roman"/>
          <w:color w:val="072A5B"/>
          <w:spacing w:val="6"/>
          <w:sz w:val="24"/>
          <w:szCs w:val="24"/>
          <w:lang w:val="en-US" w:eastAsia="de-DE"/>
        </w:rPr>
        <w:t xml:space="preserve">The AGM held on 7 June 2019 appointed BDO AG, </w:t>
      </w:r>
      <w:proofErr w:type="spellStart"/>
      <w:r w:rsidRPr="00C0515C">
        <w:rPr>
          <w:rFonts w:ascii="Helvetica" w:eastAsia="Times New Roman" w:hAnsi="Helvetica" w:cs="Times New Roman"/>
          <w:color w:val="072A5B"/>
          <w:spacing w:val="6"/>
          <w:sz w:val="24"/>
          <w:szCs w:val="24"/>
          <w:lang w:val="en-US" w:eastAsia="de-DE"/>
        </w:rPr>
        <w:t>Wirtschaftsprüfungs</w:t>
      </w:r>
      <w:r>
        <w:rPr>
          <w:rFonts w:ascii="Helvetica" w:eastAsia="Times New Roman" w:hAnsi="Helvetica" w:cs="Times New Roman"/>
          <w:color w:val="072A5B"/>
          <w:spacing w:val="6"/>
          <w:sz w:val="24"/>
          <w:szCs w:val="24"/>
          <w:lang w:val="en-US" w:eastAsia="de-DE"/>
        </w:rPr>
        <w:t>-</w:t>
      </w:r>
      <w:r w:rsidRPr="00C0515C">
        <w:rPr>
          <w:rFonts w:ascii="Helvetica" w:eastAsia="Times New Roman" w:hAnsi="Helvetica" w:cs="Times New Roman"/>
          <w:color w:val="072A5B"/>
          <w:spacing w:val="6"/>
          <w:sz w:val="24"/>
          <w:szCs w:val="24"/>
          <w:lang w:val="en-US" w:eastAsia="de-DE"/>
        </w:rPr>
        <w:t>gesellschaft</w:t>
      </w:r>
      <w:proofErr w:type="spellEnd"/>
      <w:r w:rsidRPr="00C0515C">
        <w:rPr>
          <w:rFonts w:ascii="Helvetica" w:eastAsia="Times New Roman" w:hAnsi="Helvetica" w:cs="Times New Roman"/>
          <w:color w:val="072A5B"/>
          <w:spacing w:val="6"/>
          <w:sz w:val="24"/>
          <w:szCs w:val="24"/>
          <w:lang w:val="en-US" w:eastAsia="de-DE"/>
        </w:rPr>
        <w:t>, Hamburg, as auditor for the financial year ending 31 December 2019.</w:t>
      </w:r>
      <w:r w:rsidR="00EF78C9" w:rsidRPr="00C0515C">
        <w:rPr>
          <w:rFonts w:ascii="Helvetica" w:eastAsia="Times New Roman" w:hAnsi="Helvetica" w:cs="Times New Roman"/>
          <w:color w:val="072A5B"/>
          <w:spacing w:val="6"/>
          <w:sz w:val="24"/>
          <w:szCs w:val="24"/>
          <w:lang w:val="en-US" w:eastAsia="de-DE"/>
        </w:rPr>
        <w:t> </w:t>
      </w:r>
    </w:p>
    <w:p w:rsidR="00EF78C9" w:rsidRDefault="00EF78C9">
      <w:pPr>
        <w:rPr>
          <w:lang w:val="en-US"/>
        </w:rPr>
      </w:pPr>
    </w:p>
    <w:p w:rsidR="00C0515C" w:rsidRPr="00C0515C" w:rsidRDefault="00C0515C">
      <w:pPr>
        <w:rPr>
          <w:lang w:val="en-US"/>
        </w:rPr>
      </w:pPr>
    </w:p>
    <w:p w:rsidR="00EF78C9" w:rsidRPr="00C0515C" w:rsidRDefault="00EF78C9">
      <w:pPr>
        <w:rPr>
          <w:rFonts w:ascii="Helvetica" w:eastAsia="Times New Roman" w:hAnsi="Helvetica" w:cs="Times New Roman"/>
          <w:color w:val="072A5B"/>
          <w:spacing w:val="6"/>
          <w:sz w:val="16"/>
          <w:szCs w:val="16"/>
          <w:lang w:val="en-US" w:eastAsia="de-DE"/>
        </w:rPr>
      </w:pPr>
      <w:r w:rsidRPr="00C0515C">
        <w:rPr>
          <w:rFonts w:ascii="Helvetica" w:eastAsia="Times New Roman" w:hAnsi="Helvetica" w:cs="Times New Roman"/>
          <w:color w:val="072A5B"/>
          <w:spacing w:val="6"/>
          <w:sz w:val="16"/>
          <w:szCs w:val="16"/>
          <w:lang w:val="en-US" w:eastAsia="de-DE"/>
        </w:rPr>
        <w:t>(2019)</w:t>
      </w:r>
    </w:p>
    <w:sectPr w:rsidR="00EF78C9" w:rsidRPr="00C0515C" w:rsidSect="00C0515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formatting="1" w:enforcement="1" w:cryptProviderType="rsaAES" w:cryptAlgorithmClass="hash" w:cryptAlgorithmType="typeAny" w:cryptAlgorithmSid="14" w:cryptSpinCount="100000" w:hash="p7PttxTDDaAYCyTOQltip7/6c8/kFnn81pU3gzMhO8vcyqQvIRtkaIVM+oh8LZbfFHNFPwTqQylp3NXjDmx0BQ==" w:salt="I4mVpFAUR/qGyq9cGfW2K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C9"/>
    <w:rsid w:val="00070784"/>
    <w:rsid w:val="00346B7F"/>
    <w:rsid w:val="00364E2E"/>
    <w:rsid w:val="006858F5"/>
    <w:rsid w:val="00A91D25"/>
    <w:rsid w:val="00C0515C"/>
    <w:rsid w:val="00DC1BEA"/>
    <w:rsid w:val="00EF78C9"/>
    <w:rsid w:val="00F34C4B"/>
    <w:rsid w:val="00FA7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90BB7-7BBF-4F42-9573-564C6C1C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3572">
      <w:bodyDiv w:val="1"/>
      <w:marLeft w:val="0"/>
      <w:marRight w:val="0"/>
      <w:marTop w:val="0"/>
      <w:marBottom w:val="0"/>
      <w:divBdr>
        <w:top w:val="none" w:sz="0" w:space="0" w:color="auto"/>
        <w:left w:val="none" w:sz="0" w:space="0" w:color="auto"/>
        <w:bottom w:val="none" w:sz="0" w:space="0" w:color="auto"/>
        <w:right w:val="none" w:sz="0" w:space="0" w:color="auto"/>
      </w:divBdr>
    </w:div>
    <w:div w:id="535309998">
      <w:bodyDiv w:val="1"/>
      <w:marLeft w:val="0"/>
      <w:marRight w:val="0"/>
      <w:marTop w:val="0"/>
      <w:marBottom w:val="0"/>
      <w:divBdr>
        <w:top w:val="none" w:sz="0" w:space="0" w:color="auto"/>
        <w:left w:val="none" w:sz="0" w:space="0" w:color="auto"/>
        <w:bottom w:val="none" w:sz="0" w:space="0" w:color="auto"/>
        <w:right w:val="none" w:sz="0" w:space="0" w:color="auto"/>
      </w:divBdr>
    </w:div>
    <w:div w:id="784346492">
      <w:bodyDiv w:val="1"/>
      <w:marLeft w:val="0"/>
      <w:marRight w:val="0"/>
      <w:marTop w:val="0"/>
      <w:marBottom w:val="0"/>
      <w:divBdr>
        <w:top w:val="none" w:sz="0" w:space="0" w:color="auto"/>
        <w:left w:val="none" w:sz="0" w:space="0" w:color="auto"/>
        <w:bottom w:val="none" w:sz="0" w:space="0" w:color="auto"/>
        <w:right w:val="none" w:sz="0" w:space="0" w:color="auto"/>
      </w:divBdr>
      <w:divsChild>
        <w:div w:id="1564950368">
          <w:marLeft w:val="0"/>
          <w:marRight w:val="0"/>
          <w:marTop w:val="0"/>
          <w:marBottom w:val="0"/>
          <w:divBdr>
            <w:top w:val="none" w:sz="0" w:space="0" w:color="auto"/>
            <w:left w:val="none" w:sz="0" w:space="0" w:color="auto"/>
            <w:bottom w:val="none" w:sz="0" w:space="0" w:color="auto"/>
            <w:right w:val="none" w:sz="0" w:space="0" w:color="auto"/>
          </w:divBdr>
          <w:divsChild>
            <w:div w:id="257299750">
              <w:marLeft w:val="0"/>
              <w:marRight w:val="0"/>
              <w:marTop w:val="0"/>
              <w:marBottom w:val="0"/>
              <w:divBdr>
                <w:top w:val="none" w:sz="0" w:space="0" w:color="auto"/>
                <w:left w:val="none" w:sz="0" w:space="0" w:color="auto"/>
                <w:bottom w:val="none" w:sz="0" w:space="0" w:color="auto"/>
                <w:right w:val="none" w:sz="0" w:space="0" w:color="auto"/>
              </w:divBdr>
            </w:div>
          </w:divsChild>
        </w:div>
        <w:div w:id="1237082979">
          <w:marLeft w:val="0"/>
          <w:marRight w:val="0"/>
          <w:marTop w:val="0"/>
          <w:marBottom w:val="0"/>
          <w:divBdr>
            <w:top w:val="none" w:sz="0" w:space="0" w:color="auto"/>
            <w:left w:val="none" w:sz="0" w:space="0" w:color="auto"/>
            <w:bottom w:val="none" w:sz="0" w:space="0" w:color="auto"/>
            <w:right w:val="none" w:sz="0" w:space="0" w:color="auto"/>
          </w:divBdr>
          <w:divsChild>
            <w:div w:id="1538347242">
              <w:marLeft w:val="0"/>
              <w:marRight w:val="0"/>
              <w:marTop w:val="0"/>
              <w:marBottom w:val="0"/>
              <w:divBdr>
                <w:top w:val="none" w:sz="0" w:space="0" w:color="auto"/>
                <w:left w:val="none" w:sz="0" w:space="0" w:color="auto"/>
                <w:bottom w:val="none" w:sz="0" w:space="0" w:color="auto"/>
                <w:right w:val="none" w:sz="0" w:space="0" w:color="auto"/>
              </w:divBdr>
            </w:div>
          </w:divsChild>
        </w:div>
        <w:div w:id="1292521013">
          <w:marLeft w:val="0"/>
          <w:marRight w:val="0"/>
          <w:marTop w:val="0"/>
          <w:marBottom w:val="0"/>
          <w:divBdr>
            <w:top w:val="none" w:sz="0" w:space="0" w:color="auto"/>
            <w:left w:val="none" w:sz="0" w:space="0" w:color="auto"/>
            <w:bottom w:val="none" w:sz="0" w:space="0" w:color="auto"/>
            <w:right w:val="none" w:sz="0" w:space="0" w:color="auto"/>
          </w:divBdr>
          <w:divsChild>
            <w:div w:id="1739741035">
              <w:marLeft w:val="0"/>
              <w:marRight w:val="0"/>
              <w:marTop w:val="0"/>
              <w:marBottom w:val="0"/>
              <w:divBdr>
                <w:top w:val="none" w:sz="0" w:space="0" w:color="auto"/>
                <w:left w:val="none" w:sz="0" w:space="0" w:color="auto"/>
                <w:bottom w:val="none" w:sz="0" w:space="0" w:color="auto"/>
                <w:right w:val="none" w:sz="0" w:space="0" w:color="auto"/>
              </w:divBdr>
            </w:div>
          </w:divsChild>
        </w:div>
        <w:div w:id="236600422">
          <w:marLeft w:val="0"/>
          <w:marRight w:val="0"/>
          <w:marTop w:val="0"/>
          <w:marBottom w:val="0"/>
          <w:divBdr>
            <w:top w:val="none" w:sz="0" w:space="0" w:color="auto"/>
            <w:left w:val="none" w:sz="0" w:space="0" w:color="auto"/>
            <w:bottom w:val="none" w:sz="0" w:space="0" w:color="auto"/>
            <w:right w:val="none" w:sz="0" w:space="0" w:color="auto"/>
          </w:divBdr>
          <w:divsChild>
            <w:div w:id="15577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5789">
      <w:bodyDiv w:val="1"/>
      <w:marLeft w:val="0"/>
      <w:marRight w:val="0"/>
      <w:marTop w:val="0"/>
      <w:marBottom w:val="0"/>
      <w:divBdr>
        <w:top w:val="none" w:sz="0" w:space="0" w:color="auto"/>
        <w:left w:val="none" w:sz="0" w:space="0" w:color="auto"/>
        <w:bottom w:val="none" w:sz="0" w:space="0" w:color="auto"/>
        <w:right w:val="none" w:sz="0" w:space="0" w:color="auto"/>
      </w:divBdr>
      <w:divsChild>
        <w:div w:id="435293980">
          <w:marLeft w:val="0"/>
          <w:marRight w:val="0"/>
          <w:marTop w:val="0"/>
          <w:marBottom w:val="0"/>
          <w:divBdr>
            <w:top w:val="none" w:sz="0" w:space="0" w:color="auto"/>
            <w:left w:val="none" w:sz="0" w:space="0" w:color="auto"/>
            <w:bottom w:val="none" w:sz="0" w:space="0" w:color="auto"/>
            <w:right w:val="none" w:sz="0" w:space="0" w:color="auto"/>
          </w:divBdr>
          <w:divsChild>
            <w:div w:id="250967362">
              <w:marLeft w:val="0"/>
              <w:marRight w:val="0"/>
              <w:marTop w:val="0"/>
              <w:marBottom w:val="0"/>
              <w:divBdr>
                <w:top w:val="none" w:sz="0" w:space="0" w:color="auto"/>
                <w:left w:val="none" w:sz="0" w:space="0" w:color="auto"/>
                <w:bottom w:val="none" w:sz="0" w:space="0" w:color="auto"/>
                <w:right w:val="none" w:sz="0" w:space="0" w:color="auto"/>
              </w:divBdr>
            </w:div>
          </w:divsChild>
        </w:div>
        <w:div w:id="596209280">
          <w:marLeft w:val="0"/>
          <w:marRight w:val="0"/>
          <w:marTop w:val="0"/>
          <w:marBottom w:val="0"/>
          <w:divBdr>
            <w:top w:val="none" w:sz="0" w:space="0" w:color="auto"/>
            <w:left w:val="none" w:sz="0" w:space="0" w:color="auto"/>
            <w:bottom w:val="none" w:sz="0" w:space="0" w:color="auto"/>
            <w:right w:val="none" w:sz="0" w:space="0" w:color="auto"/>
          </w:divBdr>
          <w:divsChild>
            <w:div w:id="860554695">
              <w:marLeft w:val="0"/>
              <w:marRight w:val="0"/>
              <w:marTop w:val="0"/>
              <w:marBottom w:val="0"/>
              <w:divBdr>
                <w:top w:val="none" w:sz="0" w:space="0" w:color="auto"/>
                <w:left w:val="none" w:sz="0" w:space="0" w:color="auto"/>
                <w:bottom w:val="none" w:sz="0" w:space="0" w:color="auto"/>
                <w:right w:val="none" w:sz="0" w:space="0" w:color="auto"/>
              </w:divBdr>
            </w:div>
          </w:divsChild>
        </w:div>
        <w:div w:id="5920550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
          </w:divsChild>
        </w:div>
        <w:div w:id="1788356703">
          <w:marLeft w:val="0"/>
          <w:marRight w:val="0"/>
          <w:marTop w:val="0"/>
          <w:marBottom w:val="0"/>
          <w:divBdr>
            <w:top w:val="none" w:sz="0" w:space="0" w:color="auto"/>
            <w:left w:val="none" w:sz="0" w:space="0" w:color="auto"/>
            <w:bottom w:val="none" w:sz="0" w:space="0" w:color="auto"/>
            <w:right w:val="none" w:sz="0" w:space="0" w:color="auto"/>
          </w:divBdr>
          <w:divsChild>
            <w:div w:id="15386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3593</Characters>
  <Application>Microsoft Office Word</Application>
  <DocSecurity>8</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 STAHL Aktiengesellschaft</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Schrickel, Tanja</dc:creator>
  <cp:keywords/>
  <dc:description/>
  <cp:lastModifiedBy>Schiroky, Robin</cp:lastModifiedBy>
  <cp:revision>4</cp:revision>
  <dcterms:created xsi:type="dcterms:W3CDTF">2021-02-08T12:51:00Z</dcterms:created>
  <dcterms:modified xsi:type="dcterms:W3CDTF">2021-02-11T08:41:00Z</dcterms:modified>
</cp:coreProperties>
</file>